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26" w:rsidRPr="00A96690" w:rsidRDefault="00A96690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A96690">
        <w:rPr>
          <w:color w:val="000000"/>
          <w:sz w:val="22"/>
          <w:szCs w:val="22"/>
          <w:lang w:val="en-US"/>
        </w:rPr>
        <w:t>v-no-001</w:t>
      </w:r>
    </w:p>
    <w:p w:rsidR="005B1126" w:rsidRPr="000E1F09" w:rsidRDefault="005B1126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B1126" w:rsidRPr="000E1F09" w:rsidRDefault="005B1126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43F0F" w:rsidRPr="000E1F09" w:rsidRDefault="00543F0F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43F0F" w:rsidRPr="000E1F09" w:rsidRDefault="00543F0F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43F0F" w:rsidRPr="000E1F09" w:rsidRDefault="00543F0F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5B1126" w:rsidRPr="000E1F09" w:rsidRDefault="005B1126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66EA" w:rsidRPr="000E1F09" w:rsidRDefault="007A66EA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A66EA" w:rsidRPr="000E1F09" w:rsidRDefault="007A66EA" w:rsidP="00414DC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10482" w:rsidRPr="000E1F09" w:rsidRDefault="00414DCE" w:rsidP="000E1F09">
      <w:pPr>
        <w:pStyle w:val="a3"/>
        <w:shd w:val="clear" w:color="auto" w:fill="FFFFFF"/>
        <w:spacing w:before="0" w:beforeAutospacing="0" w:after="0" w:afterAutospacing="0"/>
        <w:ind w:right="4251"/>
        <w:jc w:val="both"/>
        <w:rPr>
          <w:color w:val="303030"/>
          <w:sz w:val="28"/>
          <w:szCs w:val="28"/>
          <w:lang w:val="uk-UA"/>
        </w:rPr>
      </w:pPr>
      <w:r w:rsidRPr="000E1F09">
        <w:rPr>
          <w:color w:val="000000"/>
          <w:sz w:val="28"/>
          <w:szCs w:val="28"/>
          <w:lang w:val="uk-UA"/>
        </w:rPr>
        <w:t>Про попередній розгляд про</w:t>
      </w:r>
      <w:r w:rsidR="000C613D" w:rsidRPr="000E1F09">
        <w:rPr>
          <w:color w:val="000000"/>
          <w:sz w:val="28"/>
          <w:szCs w:val="28"/>
          <w:lang w:val="uk-UA"/>
        </w:rPr>
        <w:t>є</w:t>
      </w:r>
      <w:r w:rsidRPr="000E1F09">
        <w:rPr>
          <w:color w:val="000000"/>
          <w:sz w:val="28"/>
          <w:szCs w:val="28"/>
          <w:lang w:val="uk-UA"/>
        </w:rPr>
        <w:t>кту</w:t>
      </w:r>
      <w:r w:rsidR="00D257C6" w:rsidRPr="000E1F09">
        <w:rPr>
          <w:color w:val="000000"/>
          <w:sz w:val="28"/>
          <w:szCs w:val="28"/>
          <w:lang w:val="uk-UA"/>
        </w:rPr>
        <w:t xml:space="preserve"> </w:t>
      </w:r>
      <w:r w:rsidRPr="000E1F09">
        <w:rPr>
          <w:color w:val="000000"/>
          <w:sz w:val="28"/>
          <w:szCs w:val="28"/>
          <w:lang w:val="uk-UA"/>
        </w:rPr>
        <w:t>рішення Миколаївської міської ради</w:t>
      </w:r>
      <w:r w:rsidR="00317866" w:rsidRPr="000E1F09">
        <w:rPr>
          <w:color w:val="000000"/>
          <w:sz w:val="28"/>
          <w:szCs w:val="28"/>
          <w:lang w:val="uk-UA"/>
        </w:rPr>
        <w:t xml:space="preserve"> «Про</w:t>
      </w:r>
      <w:r w:rsidR="00D257C6" w:rsidRPr="000E1F09">
        <w:rPr>
          <w:color w:val="000000"/>
          <w:sz w:val="28"/>
          <w:szCs w:val="28"/>
          <w:lang w:val="uk-UA"/>
        </w:rPr>
        <w:t xml:space="preserve"> внесення змін та доповнень до </w:t>
      </w:r>
      <w:r w:rsidR="00B278E8" w:rsidRPr="000E1F09">
        <w:rPr>
          <w:color w:val="000000"/>
          <w:sz w:val="28"/>
          <w:szCs w:val="28"/>
          <w:lang w:val="uk-UA"/>
        </w:rPr>
        <w:t xml:space="preserve">рішення Миколаївської </w:t>
      </w:r>
      <w:r w:rsidR="00317866" w:rsidRPr="000E1F09">
        <w:rPr>
          <w:color w:val="000000"/>
          <w:sz w:val="28"/>
          <w:szCs w:val="28"/>
          <w:lang w:val="uk-UA"/>
        </w:rPr>
        <w:t xml:space="preserve">міської </w:t>
      </w:r>
      <w:r w:rsidR="00B278E8" w:rsidRPr="000E1F09">
        <w:rPr>
          <w:color w:val="000000"/>
          <w:sz w:val="28"/>
          <w:szCs w:val="28"/>
          <w:lang w:val="uk-UA"/>
        </w:rPr>
        <w:t xml:space="preserve">ради від 23.12.2021 №12/182 «Про затвердження міської </w:t>
      </w:r>
      <w:r w:rsidR="00317866" w:rsidRPr="000E1F09">
        <w:rPr>
          <w:color w:val="000000"/>
          <w:sz w:val="28"/>
          <w:szCs w:val="28"/>
          <w:lang w:val="uk-UA"/>
        </w:rPr>
        <w:t>комплексної</w:t>
      </w:r>
      <w:r w:rsidR="00D257C6" w:rsidRPr="000E1F09">
        <w:rPr>
          <w:color w:val="000000"/>
          <w:sz w:val="28"/>
          <w:szCs w:val="28"/>
          <w:lang w:val="uk-UA"/>
        </w:rPr>
        <w:t xml:space="preserve"> </w:t>
      </w:r>
      <w:r w:rsidR="00317866" w:rsidRPr="000E1F09">
        <w:rPr>
          <w:color w:val="000000"/>
          <w:sz w:val="28"/>
          <w:szCs w:val="28"/>
          <w:lang w:val="uk-UA"/>
        </w:rPr>
        <w:t>пр</w:t>
      </w:r>
      <w:r w:rsidR="00710482" w:rsidRPr="000E1F09">
        <w:rPr>
          <w:color w:val="000000"/>
          <w:sz w:val="28"/>
          <w:szCs w:val="28"/>
          <w:lang w:val="uk-UA"/>
        </w:rPr>
        <w:t>ограми «Освіта</w:t>
      </w:r>
      <w:r w:rsidRPr="000E1F09">
        <w:rPr>
          <w:color w:val="000000"/>
          <w:sz w:val="28"/>
          <w:szCs w:val="28"/>
          <w:lang w:val="uk-UA"/>
        </w:rPr>
        <w:t>»</w:t>
      </w:r>
      <w:r w:rsidR="00D257C6" w:rsidRPr="000E1F09">
        <w:rPr>
          <w:color w:val="303030"/>
          <w:sz w:val="28"/>
          <w:szCs w:val="28"/>
          <w:lang w:val="uk-UA"/>
        </w:rPr>
        <w:t xml:space="preserve"> </w:t>
      </w:r>
      <w:r w:rsidR="00710482" w:rsidRPr="000E1F09">
        <w:rPr>
          <w:color w:val="000000"/>
          <w:sz w:val="28"/>
          <w:szCs w:val="28"/>
          <w:lang w:val="uk-UA"/>
        </w:rPr>
        <w:t>на 20</w:t>
      </w:r>
      <w:r w:rsidR="006C4D58" w:rsidRPr="000E1F09">
        <w:rPr>
          <w:color w:val="000000"/>
          <w:sz w:val="28"/>
          <w:szCs w:val="28"/>
          <w:lang w:val="uk-UA"/>
        </w:rPr>
        <w:t>22</w:t>
      </w:r>
      <w:r w:rsidR="00710482" w:rsidRPr="000E1F09">
        <w:rPr>
          <w:color w:val="000000"/>
          <w:sz w:val="28"/>
          <w:szCs w:val="28"/>
          <w:lang w:val="uk-UA"/>
        </w:rPr>
        <w:t>-202</w:t>
      </w:r>
      <w:r w:rsidR="006C4D58" w:rsidRPr="000E1F09">
        <w:rPr>
          <w:color w:val="000000"/>
          <w:sz w:val="28"/>
          <w:szCs w:val="28"/>
          <w:lang w:val="uk-UA"/>
        </w:rPr>
        <w:t>4</w:t>
      </w:r>
      <w:r w:rsidR="00710482" w:rsidRPr="000E1F09">
        <w:rPr>
          <w:color w:val="000000"/>
          <w:sz w:val="28"/>
          <w:szCs w:val="28"/>
          <w:lang w:val="uk-UA"/>
        </w:rPr>
        <w:t xml:space="preserve"> роки»</w:t>
      </w:r>
    </w:p>
    <w:p w:rsidR="00414DCE" w:rsidRPr="000E1F09" w:rsidRDefault="00414DCE" w:rsidP="006C4D58">
      <w:pPr>
        <w:pStyle w:val="a3"/>
        <w:shd w:val="clear" w:color="auto" w:fill="FFFFFF"/>
        <w:spacing w:before="0" w:beforeAutospacing="0" w:after="0" w:afterAutospacing="0"/>
        <w:jc w:val="center"/>
        <w:rPr>
          <w:color w:val="303030"/>
          <w:sz w:val="28"/>
          <w:szCs w:val="28"/>
          <w:lang w:val="uk-UA"/>
        </w:rPr>
      </w:pPr>
      <w:r w:rsidRPr="000E1F09">
        <w:rPr>
          <w:color w:val="000000"/>
          <w:sz w:val="28"/>
          <w:szCs w:val="28"/>
          <w:lang w:val="uk-UA"/>
        </w:rPr>
        <w:t> </w:t>
      </w:r>
    </w:p>
    <w:p w:rsidR="00414DCE" w:rsidRPr="000E1F09" w:rsidRDefault="00414DCE" w:rsidP="00710482">
      <w:pPr>
        <w:pStyle w:val="a3"/>
        <w:shd w:val="clear" w:color="auto" w:fill="FFFFFF"/>
        <w:spacing w:before="0" w:beforeAutospacing="0" w:after="360" w:afterAutospacing="0"/>
        <w:ind w:firstLine="708"/>
        <w:jc w:val="both"/>
        <w:rPr>
          <w:color w:val="303030"/>
          <w:sz w:val="28"/>
          <w:szCs w:val="28"/>
          <w:lang w:val="uk-UA"/>
        </w:rPr>
      </w:pPr>
      <w:r w:rsidRPr="000E1F09">
        <w:rPr>
          <w:color w:val="000000"/>
          <w:sz w:val="28"/>
          <w:szCs w:val="28"/>
          <w:lang w:val="uk-UA"/>
        </w:rPr>
        <w:t>Розглянувши про</w:t>
      </w:r>
      <w:r w:rsidR="000C613D" w:rsidRPr="000E1F09">
        <w:rPr>
          <w:color w:val="000000"/>
          <w:sz w:val="28"/>
          <w:szCs w:val="28"/>
          <w:lang w:val="uk-UA"/>
        </w:rPr>
        <w:t>є</w:t>
      </w:r>
      <w:r w:rsidRPr="000E1F09">
        <w:rPr>
          <w:color w:val="000000"/>
          <w:sz w:val="28"/>
          <w:szCs w:val="28"/>
          <w:lang w:val="uk-UA"/>
        </w:rPr>
        <w:t>кт рішення Миколаївської міської ради</w:t>
      </w:r>
      <w:bookmarkStart w:id="0" w:name="_Hlk57967201"/>
      <w:r w:rsidR="00D257C6" w:rsidRPr="000E1F09">
        <w:rPr>
          <w:color w:val="000000"/>
          <w:sz w:val="28"/>
          <w:szCs w:val="28"/>
          <w:lang w:val="uk-UA"/>
        </w:rPr>
        <w:t xml:space="preserve"> </w:t>
      </w:r>
      <w:r w:rsidR="005B1126" w:rsidRPr="000E1F09">
        <w:rPr>
          <w:color w:val="000000"/>
          <w:sz w:val="28"/>
          <w:szCs w:val="28"/>
          <w:lang w:val="uk-UA"/>
        </w:rPr>
        <w:t>«Про</w:t>
      </w:r>
      <w:r w:rsidR="00D257C6" w:rsidRPr="000E1F09">
        <w:rPr>
          <w:color w:val="000000"/>
          <w:sz w:val="28"/>
          <w:szCs w:val="28"/>
          <w:lang w:val="uk-UA"/>
        </w:rPr>
        <w:t xml:space="preserve"> внесення змін та доповнень до </w:t>
      </w:r>
      <w:r w:rsidR="00B278E8" w:rsidRPr="000E1F09">
        <w:rPr>
          <w:color w:val="000000"/>
          <w:sz w:val="28"/>
          <w:szCs w:val="28"/>
          <w:lang w:val="uk-UA"/>
        </w:rPr>
        <w:t xml:space="preserve">рішення Миколаївської міської ради від 23.12.2021 </w:t>
      </w:r>
      <w:r w:rsidR="0031193B" w:rsidRPr="000E1F09">
        <w:rPr>
          <w:color w:val="000000"/>
          <w:sz w:val="28"/>
          <w:szCs w:val="28"/>
          <w:lang w:val="uk-UA"/>
        </w:rPr>
        <w:t xml:space="preserve">№12/182 «Про затвердження </w:t>
      </w:r>
      <w:r w:rsidR="005B1126" w:rsidRPr="000E1F09">
        <w:rPr>
          <w:color w:val="000000"/>
          <w:sz w:val="28"/>
          <w:szCs w:val="28"/>
          <w:lang w:val="uk-UA"/>
        </w:rPr>
        <w:t>міської комплексної програми «Освіта» на 20</w:t>
      </w:r>
      <w:r w:rsidR="006C4D58" w:rsidRPr="000E1F09">
        <w:rPr>
          <w:color w:val="000000"/>
          <w:sz w:val="28"/>
          <w:szCs w:val="28"/>
          <w:lang w:val="uk-UA"/>
        </w:rPr>
        <w:t>22</w:t>
      </w:r>
      <w:r w:rsidR="005B1126" w:rsidRPr="000E1F09">
        <w:rPr>
          <w:color w:val="000000"/>
          <w:sz w:val="28"/>
          <w:szCs w:val="28"/>
          <w:lang w:val="uk-UA"/>
        </w:rPr>
        <w:t>-20</w:t>
      </w:r>
      <w:r w:rsidR="006C4D58" w:rsidRPr="000E1F09">
        <w:rPr>
          <w:color w:val="000000"/>
          <w:sz w:val="28"/>
          <w:szCs w:val="28"/>
          <w:lang w:val="uk-UA"/>
        </w:rPr>
        <w:t>24</w:t>
      </w:r>
      <w:r w:rsidR="005B1126" w:rsidRPr="000E1F09">
        <w:rPr>
          <w:color w:val="000000"/>
          <w:sz w:val="28"/>
          <w:szCs w:val="28"/>
          <w:lang w:val="uk-UA"/>
        </w:rPr>
        <w:t xml:space="preserve"> роки»</w:t>
      </w:r>
      <w:bookmarkEnd w:id="0"/>
      <w:r w:rsidRPr="000E1F09">
        <w:rPr>
          <w:color w:val="000000"/>
          <w:sz w:val="28"/>
          <w:szCs w:val="28"/>
          <w:lang w:val="uk-UA"/>
        </w:rPr>
        <w:t>, з метою створення умов та інноваційних механізмів розвитку системи освіти, визначення перспектив і подальшого розвитку освітньої галузі, забезпечення відповідності змісту освіти потребам і викликам сучасного суспільства, керуючись п.</w:t>
      </w:r>
      <w:r w:rsidR="001D1309">
        <w:rPr>
          <w:color w:val="000000"/>
          <w:sz w:val="28"/>
          <w:szCs w:val="28"/>
          <w:lang w:val="uk-UA"/>
        </w:rPr>
        <w:t> </w:t>
      </w:r>
      <w:r w:rsidRPr="000E1F09">
        <w:rPr>
          <w:color w:val="000000"/>
          <w:sz w:val="28"/>
          <w:szCs w:val="28"/>
          <w:lang w:val="uk-UA"/>
        </w:rPr>
        <w:t>1 ч.</w:t>
      </w:r>
      <w:r w:rsidR="001D1309">
        <w:rPr>
          <w:color w:val="000000"/>
          <w:sz w:val="28"/>
          <w:szCs w:val="28"/>
          <w:lang w:val="uk-UA"/>
        </w:rPr>
        <w:t> </w:t>
      </w:r>
      <w:r w:rsidRPr="000E1F09">
        <w:rPr>
          <w:color w:val="000000"/>
          <w:sz w:val="28"/>
          <w:szCs w:val="28"/>
          <w:lang w:val="uk-UA"/>
        </w:rPr>
        <w:t>2 ст.</w:t>
      </w:r>
      <w:r w:rsidR="001D1309">
        <w:rPr>
          <w:color w:val="000000"/>
          <w:sz w:val="28"/>
          <w:szCs w:val="28"/>
          <w:lang w:val="uk-UA"/>
        </w:rPr>
        <w:t> </w:t>
      </w:r>
      <w:r w:rsidRPr="000E1F09">
        <w:rPr>
          <w:color w:val="000000"/>
          <w:sz w:val="28"/>
          <w:szCs w:val="28"/>
          <w:lang w:val="uk-UA"/>
        </w:rPr>
        <w:t>52 Закону України «Про місцеве самоврядування в Україні», виконком  міської ради</w:t>
      </w:r>
    </w:p>
    <w:p w:rsidR="00414DCE" w:rsidRPr="000E1F09" w:rsidRDefault="00414DCE" w:rsidP="00414DCE">
      <w:pPr>
        <w:pStyle w:val="a3"/>
        <w:shd w:val="clear" w:color="auto" w:fill="FFFFFF"/>
        <w:spacing w:before="0" w:beforeAutospacing="0" w:after="360" w:afterAutospacing="0"/>
        <w:jc w:val="both"/>
        <w:rPr>
          <w:color w:val="303030"/>
          <w:sz w:val="28"/>
          <w:szCs w:val="28"/>
          <w:lang w:val="uk-UA"/>
        </w:rPr>
      </w:pPr>
      <w:r w:rsidRPr="000E1F09">
        <w:rPr>
          <w:color w:val="000000"/>
          <w:sz w:val="28"/>
          <w:szCs w:val="28"/>
          <w:lang w:val="uk-UA"/>
        </w:rPr>
        <w:t>ВИРІШИВ:</w:t>
      </w:r>
    </w:p>
    <w:p w:rsidR="00414DCE" w:rsidRPr="000E1F09" w:rsidRDefault="00414DCE" w:rsidP="006C4D58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303030"/>
          <w:sz w:val="28"/>
          <w:szCs w:val="28"/>
          <w:lang w:val="uk-UA"/>
        </w:rPr>
      </w:pPr>
      <w:r w:rsidRPr="000E1F09">
        <w:rPr>
          <w:color w:val="000000"/>
          <w:sz w:val="28"/>
          <w:szCs w:val="28"/>
          <w:lang w:val="uk-UA"/>
        </w:rPr>
        <w:t>1.</w:t>
      </w:r>
      <w:r w:rsidR="001D1309">
        <w:rPr>
          <w:color w:val="000000"/>
          <w:sz w:val="28"/>
          <w:szCs w:val="28"/>
          <w:lang w:val="uk-UA"/>
        </w:rPr>
        <w:t> </w:t>
      </w:r>
      <w:r w:rsidRPr="000E1F09">
        <w:rPr>
          <w:color w:val="000000"/>
          <w:sz w:val="28"/>
          <w:szCs w:val="28"/>
          <w:lang w:val="uk-UA"/>
        </w:rPr>
        <w:t>Винести про</w:t>
      </w:r>
      <w:r w:rsidR="006C4D58" w:rsidRPr="000E1F09">
        <w:rPr>
          <w:color w:val="000000"/>
          <w:sz w:val="28"/>
          <w:szCs w:val="28"/>
          <w:lang w:val="uk-UA"/>
        </w:rPr>
        <w:t>є</w:t>
      </w:r>
      <w:r w:rsidRPr="000E1F09">
        <w:rPr>
          <w:color w:val="000000"/>
          <w:sz w:val="28"/>
          <w:szCs w:val="28"/>
          <w:lang w:val="uk-UA"/>
        </w:rPr>
        <w:t>кт рішення</w:t>
      </w:r>
      <w:r w:rsidR="00CD31EE" w:rsidRPr="000E1F09">
        <w:rPr>
          <w:color w:val="000000"/>
          <w:sz w:val="28"/>
          <w:szCs w:val="28"/>
          <w:lang w:val="uk-UA"/>
        </w:rPr>
        <w:t xml:space="preserve"> «Про </w:t>
      </w:r>
      <w:r w:rsidR="00D257C6" w:rsidRPr="000E1F09">
        <w:rPr>
          <w:color w:val="000000"/>
          <w:sz w:val="28"/>
          <w:szCs w:val="28"/>
          <w:lang w:val="uk-UA"/>
        </w:rPr>
        <w:t xml:space="preserve">внесення </w:t>
      </w:r>
      <w:r w:rsidR="00571745" w:rsidRPr="000E1F09">
        <w:rPr>
          <w:color w:val="000000"/>
          <w:sz w:val="28"/>
          <w:szCs w:val="28"/>
          <w:lang w:val="uk-UA"/>
        </w:rPr>
        <w:t>змін та</w:t>
      </w:r>
      <w:r w:rsidR="00D257C6" w:rsidRPr="000E1F09">
        <w:rPr>
          <w:color w:val="000000"/>
          <w:sz w:val="28"/>
          <w:szCs w:val="28"/>
          <w:lang w:val="uk-UA"/>
        </w:rPr>
        <w:t xml:space="preserve"> доповнень до</w:t>
      </w:r>
      <w:r w:rsidR="00CD31EE" w:rsidRPr="000E1F09">
        <w:rPr>
          <w:color w:val="000000"/>
          <w:sz w:val="28"/>
          <w:szCs w:val="28"/>
          <w:lang w:val="uk-UA"/>
        </w:rPr>
        <w:t xml:space="preserve"> </w:t>
      </w:r>
      <w:r w:rsidR="0031193B" w:rsidRPr="000E1F09">
        <w:rPr>
          <w:color w:val="000000"/>
          <w:sz w:val="28"/>
          <w:szCs w:val="28"/>
          <w:lang w:val="uk-UA"/>
        </w:rPr>
        <w:t xml:space="preserve">рішення Миколаївської міської ради від 23.12.2021 №12/182 «Про затвердження </w:t>
      </w:r>
      <w:r w:rsidR="00CD31EE" w:rsidRPr="000E1F09">
        <w:rPr>
          <w:color w:val="000000"/>
          <w:sz w:val="28"/>
          <w:szCs w:val="28"/>
          <w:lang w:val="uk-UA"/>
        </w:rPr>
        <w:t>міської комплексної програми «Освіта» на 20</w:t>
      </w:r>
      <w:r w:rsidR="006C4D58" w:rsidRPr="000E1F09">
        <w:rPr>
          <w:color w:val="000000"/>
          <w:sz w:val="28"/>
          <w:szCs w:val="28"/>
          <w:lang w:val="uk-UA"/>
        </w:rPr>
        <w:t>22</w:t>
      </w:r>
      <w:r w:rsidR="00CD31EE" w:rsidRPr="000E1F09">
        <w:rPr>
          <w:color w:val="000000"/>
          <w:sz w:val="28"/>
          <w:szCs w:val="28"/>
          <w:lang w:val="uk-UA"/>
        </w:rPr>
        <w:t>-202</w:t>
      </w:r>
      <w:r w:rsidR="006C4D58" w:rsidRPr="000E1F09">
        <w:rPr>
          <w:color w:val="000000"/>
          <w:sz w:val="28"/>
          <w:szCs w:val="28"/>
          <w:lang w:val="uk-UA"/>
        </w:rPr>
        <w:t>4</w:t>
      </w:r>
      <w:r w:rsidR="00CD31EE" w:rsidRPr="000E1F09">
        <w:rPr>
          <w:color w:val="000000"/>
          <w:sz w:val="28"/>
          <w:szCs w:val="28"/>
          <w:lang w:val="uk-UA"/>
        </w:rPr>
        <w:t xml:space="preserve"> роки»</w:t>
      </w:r>
      <w:r w:rsidR="00C87571" w:rsidRPr="000E1F09">
        <w:rPr>
          <w:color w:val="000000"/>
          <w:sz w:val="28"/>
          <w:szCs w:val="28"/>
          <w:lang w:val="uk-UA"/>
        </w:rPr>
        <w:t xml:space="preserve"> на розгляд Миколаївської міської ради</w:t>
      </w:r>
      <w:r w:rsidRPr="000E1F09">
        <w:rPr>
          <w:color w:val="000000"/>
          <w:sz w:val="28"/>
          <w:szCs w:val="28"/>
          <w:lang w:val="uk-UA"/>
        </w:rPr>
        <w:t>.</w:t>
      </w:r>
    </w:p>
    <w:p w:rsidR="00414DCE" w:rsidRPr="000E1F09" w:rsidRDefault="00414DCE" w:rsidP="006C4D58">
      <w:pPr>
        <w:pStyle w:val="a3"/>
        <w:shd w:val="clear" w:color="auto" w:fill="FFFFFF"/>
        <w:spacing w:before="0" w:beforeAutospacing="0" w:after="36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E1F09">
        <w:rPr>
          <w:color w:val="000000"/>
          <w:sz w:val="28"/>
          <w:szCs w:val="28"/>
          <w:lang w:val="uk-UA"/>
        </w:rPr>
        <w:t xml:space="preserve">2. Контроль за виконанням даного рішення покласти на заступника міського голови </w:t>
      </w:r>
      <w:r w:rsidR="00D257C6" w:rsidRPr="000E1F09">
        <w:rPr>
          <w:color w:val="000000"/>
          <w:sz w:val="28"/>
          <w:szCs w:val="28"/>
          <w:lang w:val="uk-UA"/>
        </w:rPr>
        <w:t>Петрова</w:t>
      </w:r>
      <w:r w:rsidR="001464E1" w:rsidRPr="000E1F09">
        <w:rPr>
          <w:color w:val="000000"/>
          <w:sz w:val="28"/>
          <w:szCs w:val="28"/>
          <w:lang w:val="uk-UA"/>
        </w:rPr>
        <w:t xml:space="preserve"> А.Л.</w:t>
      </w:r>
    </w:p>
    <w:p w:rsidR="00414DCE" w:rsidRPr="000E1F09" w:rsidRDefault="00414DCE" w:rsidP="00414DCE">
      <w:pPr>
        <w:pStyle w:val="a3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  <w:lang w:val="uk-UA"/>
        </w:rPr>
      </w:pPr>
      <w:r w:rsidRPr="000E1F09">
        <w:rPr>
          <w:color w:val="000000"/>
          <w:sz w:val="28"/>
          <w:szCs w:val="28"/>
          <w:lang w:val="uk-UA"/>
        </w:rPr>
        <w:t xml:space="preserve">Міський голова                                                                              </w:t>
      </w:r>
      <w:r w:rsidR="00CB7536">
        <w:rPr>
          <w:color w:val="000000"/>
          <w:sz w:val="28"/>
          <w:szCs w:val="28"/>
          <w:lang w:val="uk-UA"/>
        </w:rPr>
        <w:t xml:space="preserve">      </w:t>
      </w:r>
      <w:r w:rsidRPr="000E1F09">
        <w:rPr>
          <w:color w:val="000000"/>
          <w:sz w:val="28"/>
          <w:szCs w:val="28"/>
          <w:lang w:val="uk-UA"/>
        </w:rPr>
        <w:t>О.</w:t>
      </w:r>
      <w:r w:rsidR="001D1309">
        <w:rPr>
          <w:color w:val="000000"/>
          <w:sz w:val="28"/>
          <w:szCs w:val="28"/>
          <w:lang w:val="uk-UA"/>
        </w:rPr>
        <w:t> </w:t>
      </w:r>
      <w:r w:rsidRPr="000E1F09">
        <w:rPr>
          <w:color w:val="000000"/>
          <w:sz w:val="28"/>
          <w:szCs w:val="28"/>
          <w:lang w:val="uk-UA"/>
        </w:rPr>
        <w:t>С</w:t>
      </w:r>
      <w:r w:rsidR="00676148" w:rsidRPr="000E1F09">
        <w:rPr>
          <w:color w:val="000000"/>
          <w:sz w:val="28"/>
          <w:szCs w:val="28"/>
          <w:lang w:val="uk-UA"/>
        </w:rPr>
        <w:t>ЄНКЕВИЧ</w:t>
      </w:r>
    </w:p>
    <w:p w:rsidR="006C4D58" w:rsidRPr="000E1F09" w:rsidRDefault="006C4D58" w:rsidP="00414DCE">
      <w:pPr>
        <w:pStyle w:val="a3"/>
        <w:shd w:val="clear" w:color="auto" w:fill="FFFFFF"/>
        <w:spacing w:before="0" w:beforeAutospacing="0" w:after="360" w:afterAutospacing="0"/>
        <w:jc w:val="both"/>
        <w:rPr>
          <w:color w:val="303030"/>
          <w:sz w:val="27"/>
          <w:szCs w:val="27"/>
          <w:lang w:val="uk-UA"/>
        </w:rPr>
      </w:pPr>
    </w:p>
    <w:p w:rsidR="000A7D42" w:rsidRPr="000E1F09" w:rsidRDefault="000A7D42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4E1" w:rsidRPr="000E1F09" w:rsidRDefault="001464E1" w:rsidP="00C8661F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464E1" w:rsidRPr="000E1F09" w:rsidRDefault="001464E1" w:rsidP="00C8661F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464E1" w:rsidRPr="000E1F09" w:rsidRDefault="001464E1" w:rsidP="00C8661F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464E1" w:rsidRPr="000E1F09" w:rsidRDefault="001464E1" w:rsidP="00C8661F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7D42" w:rsidRPr="00A96690" w:rsidRDefault="00C8661F" w:rsidP="00C8661F">
      <w:pPr>
        <w:spacing w:after="0" w:line="240" w:lineRule="auto"/>
        <w:ind w:firstLine="142"/>
        <w:rPr>
          <w:rFonts w:ascii="Times New Roman" w:eastAsia="Calibri" w:hAnsi="Times New Roman" w:cs="Times New Roman"/>
          <w:lang w:val="uk-UA"/>
        </w:rPr>
      </w:pPr>
      <w:r w:rsidRPr="00A96690">
        <w:rPr>
          <w:rFonts w:ascii="Times New Roman" w:eastAsia="Calibri" w:hAnsi="Times New Roman" w:cs="Times New Roman"/>
          <w:lang w:val="uk-UA"/>
        </w:rPr>
        <w:lastRenderedPageBreak/>
        <w:t>s-no-030</w:t>
      </w:r>
    </w:p>
    <w:p w:rsidR="000A7D42" w:rsidRPr="000E1F09" w:rsidRDefault="000A7D42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:rsidR="001464E1" w:rsidRPr="000E1F09" w:rsidRDefault="001464E1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4E1" w:rsidRPr="000E1F09" w:rsidRDefault="001464E1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4E1" w:rsidRPr="000E1F09" w:rsidRDefault="001464E1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4E1" w:rsidRPr="000E1F09" w:rsidRDefault="001464E1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62A0" w:rsidRPr="000E1F09" w:rsidRDefault="00BD62A0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4E1" w:rsidRPr="000E1F09" w:rsidRDefault="001464E1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4E1" w:rsidRPr="000E1F09" w:rsidRDefault="001464E1" w:rsidP="000A7D4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464E1" w:rsidRPr="000E1F09" w:rsidRDefault="001464E1" w:rsidP="001464E1">
      <w:pPr>
        <w:tabs>
          <w:tab w:val="left" w:pos="22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A7D42" w:rsidRPr="000E1F09" w:rsidRDefault="000A7D42" w:rsidP="000E1F09">
      <w:pPr>
        <w:spacing w:after="0" w:line="240" w:lineRule="auto"/>
        <w:ind w:right="3542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Про внесення змін та доповнень до рішення М</w:t>
      </w:r>
      <w:r w:rsidRPr="000E1F09">
        <w:rPr>
          <w:rFonts w:ascii="Times New Roman" w:hAnsi="Times New Roman"/>
          <w:bCs/>
          <w:sz w:val="28"/>
          <w:szCs w:val="28"/>
          <w:lang w:val="uk-UA"/>
        </w:rPr>
        <w:t>иколаївської міської ради від 23.12.2021 №12/182 «</w:t>
      </w:r>
      <w:r w:rsidRPr="000E1F0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затвердження міської комплексної </w:t>
      </w:r>
      <w:r w:rsidRPr="000E1F09">
        <w:rPr>
          <w:rFonts w:ascii="Times New Roman" w:hAnsi="Times New Roman"/>
          <w:bCs/>
          <w:spacing w:val="-4"/>
          <w:sz w:val="28"/>
          <w:szCs w:val="28"/>
          <w:lang w:val="uk-UA"/>
        </w:rPr>
        <w:t>програми «Освіта» на 2022-2024 роки»</w:t>
      </w:r>
    </w:p>
    <w:p w:rsidR="000A7D42" w:rsidRPr="000E1F09" w:rsidRDefault="000A7D42" w:rsidP="001464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val="uk-UA"/>
        </w:rPr>
      </w:pPr>
    </w:p>
    <w:p w:rsidR="000A7D42" w:rsidRPr="000E1F09" w:rsidRDefault="000A7D42" w:rsidP="00146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o334"/>
      <w:bookmarkStart w:id="3" w:name="o340"/>
      <w:bookmarkEnd w:id="2"/>
      <w:bookmarkEnd w:id="3"/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З метою створення належних та безпечних умов навчання і виховання дітей, керуючись п.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22 ч.1 ст.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26 Закону України </w:t>
      </w:r>
      <w:r w:rsidR="001464E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1464E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, міська рада</w:t>
      </w:r>
    </w:p>
    <w:p w:rsidR="000A7D42" w:rsidRPr="000E1F09" w:rsidRDefault="000A7D42" w:rsidP="001464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D42" w:rsidRPr="000E1F09" w:rsidRDefault="000A7D42" w:rsidP="00146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0A7D42" w:rsidRPr="000E1F09" w:rsidRDefault="000A7D42" w:rsidP="001464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D42" w:rsidRPr="000E1F09" w:rsidRDefault="000A7D42" w:rsidP="001464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1. Внести зміни та доповне</w:t>
      </w:r>
      <w:r w:rsidRPr="000E1F09">
        <w:rPr>
          <w:rFonts w:ascii="Times New Roman" w:hAnsi="Times New Roman"/>
          <w:sz w:val="28"/>
          <w:szCs w:val="28"/>
          <w:lang w:val="uk-UA"/>
        </w:rPr>
        <w:t>ння до Програми «Освіта» на 2022-2024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 (далі – Програма), затвердженої рішенням М</w:t>
      </w:r>
      <w:r w:rsidRPr="000E1F09">
        <w:rPr>
          <w:rFonts w:ascii="Times New Roman" w:hAnsi="Times New Roman"/>
          <w:sz w:val="28"/>
          <w:szCs w:val="28"/>
          <w:lang w:val="uk-UA"/>
        </w:rPr>
        <w:t>иколаївської міської ради від 23.12.2021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</w:t>
      </w:r>
      <w:r w:rsidRPr="000E1F09">
        <w:rPr>
          <w:rFonts w:ascii="Times New Roman" w:hAnsi="Times New Roman"/>
          <w:sz w:val="28"/>
          <w:szCs w:val="28"/>
          <w:lang w:val="uk-UA"/>
        </w:rPr>
        <w:t>12/182 «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</w:t>
      </w:r>
      <w:r w:rsidRPr="000E1F09">
        <w:rPr>
          <w:rFonts w:ascii="Times New Roman" w:hAnsi="Times New Roman"/>
          <w:sz w:val="28"/>
          <w:szCs w:val="28"/>
          <w:lang w:val="uk-UA"/>
        </w:rPr>
        <w:t>я міської комплексної програми «Освіта» на 2022-2024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 роки</w:t>
      </w:r>
      <w:r w:rsidR="001464E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A7D42" w:rsidRPr="000E1F09" w:rsidRDefault="00A013BF" w:rsidP="001464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1.1.</w:t>
      </w:r>
      <w:r w:rsidR="000A7D42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C27C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У додатку 1 до Програми п.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54255D" w:rsidRPr="000E1F09">
        <w:rPr>
          <w:rFonts w:ascii="Times New Roman" w:hAnsi="Times New Roman"/>
          <w:sz w:val="28"/>
          <w:szCs w:val="28"/>
          <w:lang w:val="uk-UA"/>
        </w:rPr>
        <w:t>5</w:t>
      </w:r>
      <w:r w:rsidR="000A7D42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4255D" w:rsidRPr="000E1F09">
        <w:rPr>
          <w:rFonts w:ascii="Times New Roman" w:hAnsi="Times New Roman"/>
          <w:sz w:val="28"/>
          <w:szCs w:val="28"/>
          <w:lang w:val="uk-UA"/>
        </w:rPr>
        <w:t>«Співвиконавці»</w:t>
      </w:r>
      <w:r w:rsidR="00CC27C3" w:rsidRPr="000E1F09">
        <w:rPr>
          <w:rFonts w:ascii="Times New Roman" w:hAnsi="Times New Roman"/>
          <w:sz w:val="28"/>
          <w:szCs w:val="28"/>
          <w:lang w:val="uk-UA"/>
        </w:rPr>
        <w:t>,</w:t>
      </w:r>
      <w:r w:rsidR="00CC27C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C27C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 «Обсяги та джерела фінансування» </w:t>
      </w:r>
      <w:r w:rsidR="000A7D42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викласти </w:t>
      </w:r>
      <w:r w:rsidR="001464E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новій</w:t>
      </w:r>
      <w:r w:rsidR="000A7D42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редакції (дода</w:t>
      </w:r>
      <w:r w:rsidR="00CC27C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0A7D42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ться)</w:t>
      </w:r>
      <w:r w:rsidR="001D130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CC27C3" w:rsidRPr="000E1F09" w:rsidRDefault="00A013BF" w:rsidP="001464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1.2.</w:t>
      </w:r>
      <w:r w:rsidR="001D130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CC27C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У додатку 2 до Програми:</w:t>
      </w:r>
    </w:p>
    <w:p w:rsidR="002A7E11" w:rsidRPr="000E1F09" w:rsidRDefault="000A7D42" w:rsidP="001464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- п.п.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E24CCA" w:rsidRPr="000E1F09">
        <w:rPr>
          <w:rFonts w:ascii="Times New Roman" w:hAnsi="Times New Roman"/>
          <w:sz w:val="28"/>
          <w:szCs w:val="28"/>
          <w:lang w:val="uk-UA"/>
        </w:rPr>
        <w:t>4.1.</w:t>
      </w:r>
      <w:r w:rsidR="001464E1" w:rsidRPr="000E1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4CCA" w:rsidRPr="000E1F09">
        <w:rPr>
          <w:rFonts w:ascii="Times New Roman" w:hAnsi="Times New Roman"/>
          <w:sz w:val="28"/>
          <w:szCs w:val="28"/>
          <w:lang w:val="uk-UA"/>
        </w:rPr>
        <w:t>п.4</w:t>
      </w:r>
      <w:r w:rsidR="00CC27C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2A7E1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п.п.5.2</w:t>
      </w:r>
      <w:r w:rsidR="002A7E11" w:rsidRPr="000E1F09">
        <w:rPr>
          <w:rFonts w:ascii="Times New Roman" w:hAnsi="Times New Roman"/>
          <w:sz w:val="28"/>
          <w:szCs w:val="28"/>
          <w:lang w:val="uk-UA"/>
        </w:rPr>
        <w:t xml:space="preserve"> п.5</w:t>
      </w:r>
      <w:r w:rsidR="001464E1" w:rsidRPr="000E1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7E1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викласти </w:t>
      </w:r>
      <w:r w:rsidR="001464E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r w:rsidR="00A013BF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новій</w:t>
      </w:r>
      <w:r w:rsidR="002A7E1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редакції (дода</w:t>
      </w:r>
      <w:r w:rsidR="00CC27C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2A7E1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ться)</w:t>
      </w:r>
      <w:r w:rsidR="001464E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A7E11" w:rsidRPr="000E1F09" w:rsidRDefault="002A7E11" w:rsidP="001464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- п.5 доповнити п.п.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5.6., 5.7., 5.8 (додаються)</w:t>
      </w:r>
      <w:r w:rsidR="001D130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26A9" w:rsidRPr="000E1F09" w:rsidRDefault="00A013BF" w:rsidP="001464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1.3.</w:t>
      </w:r>
      <w:r w:rsidR="00CC27C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E226A9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одаток</w:t>
      </w:r>
      <w:r w:rsidR="001D130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E226A9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3 до Програми «Результативні показники</w:t>
      </w:r>
      <w:r w:rsidR="00E226A9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br/>
        <w:t>виконання міської комплексної Програми «Освіта» на 2022-2024 роки» викласти в новій редакції (дода</w:t>
      </w:r>
      <w:r w:rsidR="001464E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E226A9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ться).</w:t>
      </w:r>
    </w:p>
    <w:p w:rsidR="001464E1" w:rsidRPr="000E1F09" w:rsidRDefault="000A7D42" w:rsidP="00CC27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E1F09">
        <w:rPr>
          <w:sz w:val="28"/>
          <w:szCs w:val="28"/>
          <w:lang w:val="uk-UA"/>
        </w:rPr>
        <w:tab/>
      </w:r>
      <w:r w:rsidRPr="000E1F09">
        <w:rPr>
          <w:color w:val="000000"/>
          <w:sz w:val="28"/>
          <w:szCs w:val="28"/>
          <w:lang w:val="uk-UA"/>
        </w:rPr>
        <w:t>2.</w:t>
      </w:r>
      <w:r w:rsidR="00A1625E">
        <w:rPr>
          <w:color w:val="000000"/>
          <w:sz w:val="28"/>
          <w:szCs w:val="28"/>
          <w:lang w:val="uk-UA"/>
        </w:rPr>
        <w:t> </w:t>
      </w:r>
      <w:r w:rsidRPr="000E1F09">
        <w:rPr>
          <w:color w:val="000000"/>
          <w:sz w:val="28"/>
          <w:szCs w:val="28"/>
          <w:lang w:val="uk-UA"/>
        </w:rPr>
        <w:t>Департаменту фінансів Микола</w:t>
      </w:r>
      <w:r w:rsidR="002A7E11" w:rsidRPr="000E1F09">
        <w:rPr>
          <w:color w:val="000000"/>
          <w:sz w:val="28"/>
          <w:szCs w:val="28"/>
          <w:lang w:val="uk-UA"/>
        </w:rPr>
        <w:t>ївської міської ради (Святелик</w:t>
      </w:r>
      <w:r w:rsidRPr="000E1F09">
        <w:rPr>
          <w:color w:val="000000"/>
          <w:sz w:val="28"/>
          <w:szCs w:val="28"/>
          <w:lang w:val="uk-UA"/>
        </w:rPr>
        <w:t>), управлінню освіти Ми</w:t>
      </w:r>
      <w:r w:rsidR="002A7E11" w:rsidRPr="000E1F09">
        <w:rPr>
          <w:color w:val="000000"/>
          <w:sz w:val="28"/>
          <w:szCs w:val="28"/>
          <w:lang w:val="uk-UA"/>
        </w:rPr>
        <w:t>колаївської міської ради (Личко</w:t>
      </w:r>
      <w:r w:rsidRPr="000E1F09">
        <w:rPr>
          <w:color w:val="000000"/>
          <w:sz w:val="28"/>
          <w:szCs w:val="28"/>
          <w:lang w:val="uk-UA"/>
        </w:rPr>
        <w:t>) забезпечити фінансування Програми в межах коштів, передбачених у міському бюджеті на відповідний рік.</w:t>
      </w:r>
    </w:p>
    <w:p w:rsidR="00E05E50" w:rsidRPr="000E1F09" w:rsidRDefault="000A7D42" w:rsidP="001464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E1F09">
        <w:rPr>
          <w:color w:val="000000"/>
          <w:sz w:val="28"/>
          <w:szCs w:val="28"/>
          <w:lang w:val="uk-UA"/>
        </w:rPr>
        <w:t>3. </w:t>
      </w:r>
      <w:r w:rsidR="00E05E50" w:rsidRPr="000E1F09">
        <w:rPr>
          <w:sz w:val="28"/>
          <w:szCs w:val="28"/>
          <w:lang w:val="uk-UA"/>
        </w:rPr>
        <w:t xml:space="preserve">Контроль за виконанням даного рішення покласти на постійні комісії міської ради: </w:t>
      </w:r>
      <w:bookmarkStart w:id="4" w:name="_Hlk79501300"/>
      <w:r w:rsidR="00E05E50" w:rsidRPr="000E1F09">
        <w:rPr>
          <w:sz w:val="28"/>
          <w:szCs w:val="28"/>
          <w:lang w:val="uk-UA"/>
        </w:rPr>
        <w:t>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</w:t>
      </w:r>
      <w:r w:rsidR="00594FE8" w:rsidRPr="000E1F09">
        <w:rPr>
          <w:sz w:val="28"/>
          <w:szCs w:val="28"/>
          <w:lang w:val="uk-UA"/>
        </w:rPr>
        <w:t>)</w:t>
      </w:r>
      <w:r w:rsidR="00E05E50" w:rsidRPr="000E1F09">
        <w:rPr>
          <w:sz w:val="28"/>
          <w:szCs w:val="28"/>
          <w:lang w:val="uk-UA"/>
        </w:rPr>
        <w:t>, з питань охорони здоров’я, соціального захисту населення, освіти, культури, туризму, молоді та спорту (Норд), зас</w:t>
      </w:r>
      <w:r w:rsidR="00594FE8" w:rsidRPr="000E1F09">
        <w:rPr>
          <w:sz w:val="28"/>
          <w:szCs w:val="28"/>
          <w:lang w:val="uk-UA"/>
        </w:rPr>
        <w:t xml:space="preserve">тупника міського голови </w:t>
      </w:r>
      <w:bookmarkEnd w:id="4"/>
      <w:r w:rsidR="00594FE8" w:rsidRPr="000E1F09">
        <w:rPr>
          <w:sz w:val="28"/>
          <w:szCs w:val="28"/>
          <w:lang w:val="uk-UA"/>
        </w:rPr>
        <w:t>Петрова</w:t>
      </w:r>
      <w:r w:rsidR="001464E1" w:rsidRPr="000E1F09">
        <w:rPr>
          <w:sz w:val="28"/>
          <w:szCs w:val="28"/>
          <w:lang w:val="uk-UA"/>
        </w:rPr>
        <w:t xml:space="preserve"> А.Л.</w:t>
      </w:r>
    </w:p>
    <w:p w:rsidR="000E1F09" w:rsidRPr="000E1F09" w:rsidRDefault="000E1F09" w:rsidP="001464E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A7D42" w:rsidRPr="000E1F09" w:rsidRDefault="00E24CCA" w:rsidP="001464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Pr="000E1F09">
        <w:rPr>
          <w:rFonts w:ascii="Times New Roman" w:hAnsi="Times New Roman"/>
          <w:sz w:val="28"/>
          <w:szCs w:val="28"/>
          <w:lang w:val="uk-UA"/>
        </w:rPr>
        <w:tab/>
      </w:r>
      <w:r w:rsidRPr="000E1F09">
        <w:rPr>
          <w:rFonts w:ascii="Times New Roman" w:hAnsi="Times New Roman"/>
          <w:sz w:val="28"/>
          <w:szCs w:val="28"/>
          <w:lang w:val="uk-UA"/>
        </w:rPr>
        <w:tab/>
      </w:r>
      <w:r w:rsidRPr="000E1F09">
        <w:rPr>
          <w:rFonts w:ascii="Times New Roman" w:hAnsi="Times New Roman"/>
          <w:sz w:val="28"/>
          <w:szCs w:val="28"/>
          <w:lang w:val="uk-UA"/>
        </w:rPr>
        <w:tab/>
      </w:r>
      <w:r w:rsidRPr="000E1F09">
        <w:rPr>
          <w:rFonts w:ascii="Times New Roman" w:hAnsi="Times New Roman"/>
          <w:sz w:val="28"/>
          <w:szCs w:val="28"/>
          <w:lang w:val="uk-UA"/>
        </w:rPr>
        <w:tab/>
      </w:r>
      <w:r w:rsidRPr="000E1F09">
        <w:rPr>
          <w:rFonts w:ascii="Times New Roman" w:hAnsi="Times New Roman"/>
          <w:sz w:val="28"/>
          <w:szCs w:val="28"/>
          <w:lang w:val="uk-UA"/>
        </w:rPr>
        <w:tab/>
      </w:r>
      <w:r w:rsidRPr="000E1F09">
        <w:rPr>
          <w:rFonts w:ascii="Times New Roman" w:hAnsi="Times New Roman"/>
          <w:sz w:val="28"/>
          <w:szCs w:val="28"/>
          <w:lang w:val="uk-UA"/>
        </w:rPr>
        <w:tab/>
      </w:r>
      <w:r w:rsidRPr="000E1F09">
        <w:rPr>
          <w:rFonts w:ascii="Times New Roman" w:hAnsi="Times New Roman"/>
          <w:sz w:val="28"/>
          <w:szCs w:val="28"/>
          <w:lang w:val="uk-UA"/>
        </w:rPr>
        <w:tab/>
      </w:r>
      <w:r w:rsidRPr="000E1F09">
        <w:rPr>
          <w:rFonts w:ascii="Times New Roman" w:hAnsi="Times New Roman"/>
          <w:sz w:val="28"/>
          <w:szCs w:val="28"/>
          <w:lang w:val="uk-UA"/>
        </w:rPr>
        <w:tab/>
      </w:r>
      <w:r w:rsidR="00594FE8" w:rsidRPr="000E1F0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464E1" w:rsidRPr="000E1F0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94FE8" w:rsidRPr="000E1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FE8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О.</w:t>
      </w:r>
      <w:r w:rsidR="001D130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594FE8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СЄНКЕВИЧ</w:t>
      </w:r>
    </w:p>
    <w:p w:rsidR="000A7D42" w:rsidRPr="000E1F09" w:rsidRDefault="000A7D42" w:rsidP="007A66EA">
      <w:pPr>
        <w:spacing w:after="0" w:line="360" w:lineRule="auto"/>
        <w:ind w:left="5664"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0A7D42" w:rsidRPr="000E1F09" w:rsidRDefault="00E659F4" w:rsidP="007A66EA">
      <w:pPr>
        <w:tabs>
          <w:tab w:val="left" w:pos="55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A7D42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рішення міської ради</w:t>
      </w:r>
    </w:p>
    <w:p w:rsidR="000A7D42" w:rsidRPr="000E1F09" w:rsidRDefault="00E659F4" w:rsidP="007A66EA">
      <w:pPr>
        <w:tabs>
          <w:tab w:val="left" w:pos="55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A7D42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від _______________</w:t>
      </w:r>
    </w:p>
    <w:p w:rsidR="000A7D42" w:rsidRPr="000E1F09" w:rsidRDefault="000A7D42" w:rsidP="007A66E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№ _______________</w:t>
      </w:r>
    </w:p>
    <w:p w:rsidR="000A7D42" w:rsidRPr="000E1F09" w:rsidRDefault="000A7D42" w:rsidP="000A7D42">
      <w:pPr>
        <w:spacing w:after="0"/>
        <w:ind w:firstLine="70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D42" w:rsidRPr="000E1F09" w:rsidRDefault="000A7D42" w:rsidP="000A7D42">
      <w:pPr>
        <w:spacing w:after="0"/>
        <w:ind w:firstLine="70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Додаток 1</w:t>
      </w:r>
    </w:p>
    <w:p w:rsidR="000A7D42" w:rsidRPr="000E1F09" w:rsidRDefault="000A7D42" w:rsidP="000A7D42">
      <w:pPr>
        <w:spacing w:after="0"/>
        <w:ind w:firstLine="70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</w:t>
      </w:r>
    </w:p>
    <w:p w:rsidR="000A7D42" w:rsidRPr="000E1F09" w:rsidRDefault="000A7D42" w:rsidP="000A7D4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D42" w:rsidRPr="000E1F09" w:rsidRDefault="000A7D42" w:rsidP="000A7D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54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pacing w:val="54"/>
          <w:sz w:val="28"/>
          <w:szCs w:val="28"/>
          <w:lang w:val="uk-UA"/>
        </w:rPr>
        <w:t>ПАСПОРТ</w:t>
      </w:r>
    </w:p>
    <w:p w:rsidR="000A7D42" w:rsidRPr="000E1F09" w:rsidRDefault="000A7D42" w:rsidP="000A7D4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міської компл</w:t>
      </w:r>
      <w:r w:rsidR="006032ED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ексної програми «Освіта» на 2022-2024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</w:t>
      </w:r>
    </w:p>
    <w:p w:rsidR="000A7D42" w:rsidRPr="000E1F09" w:rsidRDefault="000A7D42" w:rsidP="000A7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D42" w:rsidRPr="000E1F09" w:rsidRDefault="000A7D42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A7D42" w:rsidRPr="000E1F09" w:rsidRDefault="006032ED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0A7D42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.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Співвиконавці</w:t>
      </w:r>
      <w:r w:rsidR="00202C4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202C41" w:rsidRPr="000E1F09" w:rsidRDefault="00202C41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5.1.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Заклади та установи освіти міста.</w:t>
      </w:r>
    </w:p>
    <w:p w:rsidR="00202C41" w:rsidRPr="000E1F09" w:rsidRDefault="00202C41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5.2.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Управління капітального будівництва Миколаївської міської ради.</w:t>
      </w:r>
    </w:p>
    <w:p w:rsidR="00202C41" w:rsidRPr="000E1F09" w:rsidRDefault="00C923A4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5.3.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202C4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Комунальне підприємство Миколаївської міської ради «Миколаївелектротранс».</w:t>
      </w:r>
    </w:p>
    <w:p w:rsidR="00202C41" w:rsidRPr="000E1F09" w:rsidRDefault="00202C41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5.4.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Комунальне підприємство Миколаївської міської ради «Миколаївпастранс».</w:t>
      </w:r>
    </w:p>
    <w:p w:rsidR="00441270" w:rsidRPr="000E1F09" w:rsidRDefault="00441270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5.5. Науково-педагогічна бібліотека м.</w:t>
      </w:r>
      <w:r w:rsidR="001D1309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Миколаєва</w:t>
      </w:r>
      <w:r w:rsidR="002C5913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(на 2022 рік)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02C41" w:rsidRPr="000E1F09" w:rsidRDefault="00441270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5.6</w:t>
      </w:r>
      <w:r w:rsidR="00202C41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="00B60CF9"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Департамент енергетики, енергозбереження та запровадження інноваційних технологій Миколаївської міської ради.</w:t>
      </w:r>
    </w:p>
    <w:p w:rsidR="00A04D53" w:rsidRPr="000E1F09" w:rsidRDefault="00A04D53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="00A1625E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Обсяги та джерела фінансування:</w:t>
      </w:r>
    </w:p>
    <w:p w:rsidR="00A04D53" w:rsidRPr="000E1F09" w:rsidRDefault="00A04D53" w:rsidP="000A7D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9974" w:type="dxa"/>
        <w:tblLook w:val="04A0" w:firstRow="1" w:lastRow="0" w:firstColumn="1" w:lastColumn="0" w:noHBand="0" w:noVBand="1"/>
      </w:tblPr>
      <w:tblGrid>
        <w:gridCol w:w="3197"/>
        <w:gridCol w:w="1908"/>
        <w:gridCol w:w="1629"/>
        <w:gridCol w:w="1596"/>
        <w:gridCol w:w="1633"/>
        <w:gridCol w:w="11"/>
      </w:tblGrid>
      <w:tr w:rsidR="002C5913" w:rsidRPr="000E1F09" w:rsidTr="006B67DC">
        <w:tc>
          <w:tcPr>
            <w:tcW w:w="3227" w:type="dxa"/>
            <w:vMerge w:val="restart"/>
            <w:vAlign w:val="center"/>
          </w:tcPr>
          <w:p w:rsidR="00A04D53" w:rsidRPr="000E1F09" w:rsidRDefault="00A04D53" w:rsidP="00A04D5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lang w:val="uk-UA"/>
              </w:rPr>
              <w:t>Джерела фінансування</w:t>
            </w:r>
          </w:p>
        </w:tc>
        <w:tc>
          <w:tcPr>
            <w:tcW w:w="1914" w:type="dxa"/>
            <w:vMerge w:val="restart"/>
            <w:vAlign w:val="center"/>
          </w:tcPr>
          <w:p w:rsidR="00A04D53" w:rsidRPr="000E1F09" w:rsidRDefault="00A04D53" w:rsidP="000E1F09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lang w:val="uk-UA"/>
              </w:rPr>
              <w:t>Обсяг фінансування (тис.</w:t>
            </w:r>
            <w:r w:rsidR="000E1F09" w:rsidRPr="000E1F09">
              <w:rPr>
                <w:rFonts w:ascii="Times New Roman" w:eastAsia="Calibri" w:hAnsi="Times New Roman" w:cs="Times New Roman"/>
                <w:b/>
                <w:lang w:val="uk-UA"/>
              </w:rPr>
              <w:t xml:space="preserve"> </w:t>
            </w:r>
            <w:r w:rsidRPr="000E1F09">
              <w:rPr>
                <w:rFonts w:ascii="Times New Roman" w:eastAsia="Calibri" w:hAnsi="Times New Roman" w:cs="Times New Roman"/>
                <w:b/>
                <w:lang w:val="uk-UA"/>
              </w:rPr>
              <w:t>грн)</w:t>
            </w:r>
          </w:p>
        </w:tc>
        <w:tc>
          <w:tcPr>
            <w:tcW w:w="4833" w:type="dxa"/>
            <w:gridSpan w:val="4"/>
            <w:vAlign w:val="center"/>
          </w:tcPr>
          <w:p w:rsidR="00A04D53" w:rsidRPr="000E1F09" w:rsidRDefault="00A04D53" w:rsidP="00A04D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lang w:val="uk-UA"/>
              </w:rPr>
              <w:t>У тому числі за роками</w:t>
            </w:r>
          </w:p>
        </w:tc>
      </w:tr>
      <w:tr w:rsidR="002C5913" w:rsidRPr="000E1F09" w:rsidTr="00B02E4E">
        <w:trPr>
          <w:gridAfter w:val="1"/>
          <w:wAfter w:w="11" w:type="dxa"/>
          <w:trHeight w:val="713"/>
        </w:trPr>
        <w:tc>
          <w:tcPr>
            <w:tcW w:w="3227" w:type="dxa"/>
            <w:vMerge/>
            <w:vAlign w:val="center"/>
          </w:tcPr>
          <w:p w:rsidR="00A04D53" w:rsidRPr="000E1F09" w:rsidRDefault="00A04D53" w:rsidP="00A04D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914" w:type="dxa"/>
            <w:vMerge/>
            <w:vAlign w:val="center"/>
          </w:tcPr>
          <w:p w:rsidR="00A04D53" w:rsidRPr="000E1F09" w:rsidRDefault="00A04D53" w:rsidP="00A04D5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A04D53" w:rsidRPr="000E1F09" w:rsidRDefault="00A04D53" w:rsidP="00A04D5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lang w:val="uk-UA"/>
              </w:rPr>
              <w:t>2022 рік</w:t>
            </w:r>
          </w:p>
        </w:tc>
        <w:tc>
          <w:tcPr>
            <w:tcW w:w="1558" w:type="dxa"/>
            <w:vAlign w:val="center"/>
          </w:tcPr>
          <w:p w:rsidR="00A04D53" w:rsidRPr="000E1F09" w:rsidRDefault="00A04D53" w:rsidP="00A04D5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lang w:val="uk-UA"/>
              </w:rPr>
              <w:t>2023 рік</w:t>
            </w:r>
          </w:p>
        </w:tc>
        <w:tc>
          <w:tcPr>
            <w:tcW w:w="1634" w:type="dxa"/>
            <w:vAlign w:val="center"/>
          </w:tcPr>
          <w:p w:rsidR="00A04D53" w:rsidRPr="000E1F09" w:rsidRDefault="00A04D53" w:rsidP="00A04D5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lang w:val="uk-UA"/>
              </w:rPr>
              <w:t>2024 рік</w:t>
            </w:r>
          </w:p>
        </w:tc>
      </w:tr>
      <w:tr w:rsidR="002C5913" w:rsidRPr="000E1F09" w:rsidTr="00A04D53">
        <w:trPr>
          <w:gridAfter w:val="1"/>
          <w:wAfter w:w="11" w:type="dxa"/>
          <w:trHeight w:val="551"/>
        </w:trPr>
        <w:tc>
          <w:tcPr>
            <w:tcW w:w="3227" w:type="dxa"/>
            <w:vAlign w:val="center"/>
          </w:tcPr>
          <w:p w:rsidR="00A04D53" w:rsidRPr="000E1F09" w:rsidRDefault="00A04D53" w:rsidP="000A7D4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Разом по програмі</w:t>
            </w:r>
          </w:p>
        </w:tc>
        <w:tc>
          <w:tcPr>
            <w:tcW w:w="191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9 451 890,000</w:t>
            </w:r>
          </w:p>
        </w:tc>
        <w:tc>
          <w:tcPr>
            <w:tcW w:w="1630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2 616 282,000</w:t>
            </w:r>
          </w:p>
        </w:tc>
        <w:tc>
          <w:tcPr>
            <w:tcW w:w="1558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3 245 803,200</w:t>
            </w:r>
          </w:p>
        </w:tc>
        <w:tc>
          <w:tcPr>
            <w:tcW w:w="163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3 589 804,000</w:t>
            </w:r>
          </w:p>
        </w:tc>
      </w:tr>
      <w:tr w:rsidR="002C5913" w:rsidRPr="000E1F09" w:rsidTr="00A04D53">
        <w:trPr>
          <w:gridAfter w:val="1"/>
          <w:wAfter w:w="11" w:type="dxa"/>
          <w:trHeight w:val="555"/>
        </w:trPr>
        <w:tc>
          <w:tcPr>
            <w:tcW w:w="3227" w:type="dxa"/>
            <w:vAlign w:val="center"/>
          </w:tcPr>
          <w:p w:rsidR="00A04D53" w:rsidRPr="000E1F09" w:rsidRDefault="00A04D53" w:rsidP="000A7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1914" w:type="dxa"/>
            <w:vAlign w:val="center"/>
          </w:tcPr>
          <w:p w:rsidR="00A04D53" w:rsidRPr="000E1F09" w:rsidRDefault="00A04D53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dxa"/>
            <w:vAlign w:val="center"/>
          </w:tcPr>
          <w:p w:rsidR="00A04D53" w:rsidRPr="000E1F09" w:rsidRDefault="00A04D53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8" w:type="dxa"/>
            <w:vAlign w:val="center"/>
          </w:tcPr>
          <w:p w:rsidR="00A04D53" w:rsidRPr="000E1F09" w:rsidRDefault="00A04D53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34" w:type="dxa"/>
            <w:vAlign w:val="center"/>
          </w:tcPr>
          <w:p w:rsidR="00A04D53" w:rsidRPr="000E1F09" w:rsidRDefault="00A04D53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C5913" w:rsidRPr="000E1F09" w:rsidTr="00A04D53">
        <w:trPr>
          <w:gridAfter w:val="1"/>
          <w:wAfter w:w="11" w:type="dxa"/>
          <w:trHeight w:val="559"/>
        </w:trPr>
        <w:tc>
          <w:tcPr>
            <w:tcW w:w="3227" w:type="dxa"/>
            <w:vAlign w:val="center"/>
          </w:tcPr>
          <w:p w:rsidR="00A04D53" w:rsidRPr="000E1F09" w:rsidRDefault="00A04D53" w:rsidP="000A7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місцевого бюджету</w:t>
            </w:r>
          </w:p>
        </w:tc>
        <w:tc>
          <w:tcPr>
            <w:tcW w:w="191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6 094 130,00</w:t>
            </w:r>
          </w:p>
        </w:tc>
        <w:tc>
          <w:tcPr>
            <w:tcW w:w="1630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1 601 948,700</w:t>
            </w:r>
          </w:p>
        </w:tc>
        <w:tc>
          <w:tcPr>
            <w:tcW w:w="1558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2 129 726,000</w:t>
            </w:r>
          </w:p>
        </w:tc>
        <w:tc>
          <w:tcPr>
            <w:tcW w:w="163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2 362 456,000</w:t>
            </w:r>
          </w:p>
        </w:tc>
      </w:tr>
      <w:tr w:rsidR="002C5913" w:rsidRPr="000E1F09" w:rsidTr="00A04D53">
        <w:trPr>
          <w:gridAfter w:val="1"/>
          <w:wAfter w:w="11" w:type="dxa"/>
          <w:trHeight w:val="563"/>
        </w:trPr>
        <w:tc>
          <w:tcPr>
            <w:tcW w:w="3227" w:type="dxa"/>
            <w:vAlign w:val="center"/>
          </w:tcPr>
          <w:p w:rsidR="00A04D53" w:rsidRPr="000E1F09" w:rsidRDefault="00A04D53" w:rsidP="000A7D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державного бюджету</w:t>
            </w:r>
          </w:p>
        </w:tc>
        <w:tc>
          <w:tcPr>
            <w:tcW w:w="191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152 609,000</w:t>
            </w:r>
          </w:p>
        </w:tc>
        <w:tc>
          <w:tcPr>
            <w:tcW w:w="1630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46 105,000</w:t>
            </w:r>
          </w:p>
        </w:tc>
        <w:tc>
          <w:tcPr>
            <w:tcW w:w="1558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50 716,000</w:t>
            </w:r>
          </w:p>
        </w:tc>
        <w:tc>
          <w:tcPr>
            <w:tcW w:w="163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55 788,000</w:t>
            </w:r>
          </w:p>
        </w:tc>
      </w:tr>
      <w:tr w:rsidR="002C5913" w:rsidRPr="000E1F09" w:rsidTr="00A04D53">
        <w:trPr>
          <w:gridAfter w:val="1"/>
          <w:wAfter w:w="11" w:type="dxa"/>
        </w:trPr>
        <w:tc>
          <w:tcPr>
            <w:tcW w:w="3227" w:type="dxa"/>
            <w:vAlign w:val="center"/>
          </w:tcPr>
          <w:p w:rsidR="00A04D53" w:rsidRPr="000E1F09" w:rsidRDefault="00A04D53" w:rsidP="00A04D5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рахунок освітньої субвенції</w:t>
            </w:r>
          </w:p>
        </w:tc>
        <w:tc>
          <w:tcPr>
            <w:tcW w:w="191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2 915 755,200</w:t>
            </w:r>
          </w:p>
        </w:tc>
        <w:tc>
          <w:tcPr>
            <w:tcW w:w="1630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880 800,000</w:t>
            </w:r>
          </w:p>
        </w:tc>
        <w:tc>
          <w:tcPr>
            <w:tcW w:w="1558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969 187,200</w:t>
            </w:r>
          </w:p>
        </w:tc>
        <w:tc>
          <w:tcPr>
            <w:tcW w:w="163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1 065 768,000</w:t>
            </w:r>
          </w:p>
        </w:tc>
      </w:tr>
      <w:tr w:rsidR="00A04D53" w:rsidRPr="000E1F09" w:rsidTr="00A04D53">
        <w:trPr>
          <w:gridAfter w:val="1"/>
          <w:wAfter w:w="11" w:type="dxa"/>
        </w:trPr>
        <w:tc>
          <w:tcPr>
            <w:tcW w:w="3227" w:type="dxa"/>
            <w:vAlign w:val="center"/>
          </w:tcPr>
          <w:p w:rsidR="00A04D53" w:rsidRPr="000E1F09" w:rsidRDefault="000E1F09" w:rsidP="000E1F0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A04D53"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 спеціального фонду (власні надходження)</w:t>
            </w:r>
          </w:p>
        </w:tc>
        <w:tc>
          <w:tcPr>
            <w:tcW w:w="191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289 395,100</w:t>
            </w:r>
          </w:p>
        </w:tc>
        <w:tc>
          <w:tcPr>
            <w:tcW w:w="1630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87 429,100</w:t>
            </w:r>
          </w:p>
        </w:tc>
        <w:tc>
          <w:tcPr>
            <w:tcW w:w="1558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96 174,000</w:t>
            </w:r>
          </w:p>
        </w:tc>
        <w:tc>
          <w:tcPr>
            <w:tcW w:w="1634" w:type="dxa"/>
            <w:vAlign w:val="center"/>
          </w:tcPr>
          <w:p w:rsidR="00A04D53" w:rsidRPr="000E1F09" w:rsidRDefault="00B02E4E" w:rsidP="00B02E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E1F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105 792,000</w:t>
            </w:r>
          </w:p>
        </w:tc>
      </w:tr>
    </w:tbl>
    <w:p w:rsidR="000A7D42" w:rsidRPr="000E1F09" w:rsidRDefault="000A7D42" w:rsidP="000A7D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43F0F" w:rsidRPr="000E1F09" w:rsidRDefault="00543F0F" w:rsidP="006C4D58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uk-UA"/>
        </w:rPr>
      </w:pPr>
    </w:p>
    <w:p w:rsidR="00E24CCA" w:rsidRPr="000E1F09" w:rsidRDefault="00E24CCA" w:rsidP="006C4D58">
      <w:pPr>
        <w:pStyle w:val="a3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uk-UA"/>
        </w:rPr>
      </w:pPr>
    </w:p>
    <w:p w:rsidR="00C923A4" w:rsidRPr="000E1F09" w:rsidRDefault="00C923A4" w:rsidP="00E24CCA">
      <w:pPr>
        <w:jc w:val="right"/>
        <w:rPr>
          <w:rFonts w:ascii="Times New Roman" w:hAnsi="Times New Roman" w:cs="Times New Roman"/>
          <w:lang w:val="uk-UA"/>
        </w:rPr>
        <w:sectPr w:rsidR="00C923A4" w:rsidRPr="000E1F09" w:rsidSect="001464E1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A66EA" w:rsidRPr="000E1F09" w:rsidRDefault="007A66EA" w:rsidP="00E24CCA">
      <w:pPr>
        <w:jc w:val="right"/>
        <w:rPr>
          <w:rFonts w:ascii="Times New Roman" w:hAnsi="Times New Roman" w:cs="Times New Roman"/>
          <w:lang w:val="uk-UA"/>
        </w:rPr>
      </w:pPr>
    </w:p>
    <w:p w:rsidR="007A66EA" w:rsidRPr="000E1F09" w:rsidRDefault="007A66EA" w:rsidP="007A66EA">
      <w:pPr>
        <w:spacing w:after="0" w:line="360" w:lineRule="auto"/>
        <w:ind w:left="1063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7A66EA" w:rsidRPr="000E1F09" w:rsidRDefault="007A66EA" w:rsidP="007A66EA">
      <w:pPr>
        <w:tabs>
          <w:tab w:val="left" w:pos="5580"/>
        </w:tabs>
        <w:spacing w:after="0" w:line="360" w:lineRule="auto"/>
        <w:ind w:left="1063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рішення міської ради</w:t>
      </w:r>
    </w:p>
    <w:p w:rsidR="007A66EA" w:rsidRPr="000E1F09" w:rsidRDefault="007A66EA" w:rsidP="007A66EA">
      <w:pPr>
        <w:tabs>
          <w:tab w:val="left" w:pos="5580"/>
        </w:tabs>
        <w:spacing w:after="0" w:line="360" w:lineRule="auto"/>
        <w:ind w:left="1063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від _______________</w:t>
      </w:r>
    </w:p>
    <w:p w:rsidR="007A66EA" w:rsidRPr="000E1F09" w:rsidRDefault="007A66EA" w:rsidP="007A66EA">
      <w:pPr>
        <w:tabs>
          <w:tab w:val="left" w:pos="5580"/>
        </w:tabs>
        <w:spacing w:after="0" w:line="360" w:lineRule="auto"/>
        <w:ind w:left="10632"/>
        <w:jc w:val="both"/>
        <w:rPr>
          <w:rFonts w:ascii="Times New Roman" w:hAnsi="Times New Roman" w:cs="Times New Roman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№ _______________</w:t>
      </w:r>
    </w:p>
    <w:p w:rsidR="007A66EA" w:rsidRPr="000E1F09" w:rsidRDefault="007A66EA" w:rsidP="00E24CCA">
      <w:pPr>
        <w:jc w:val="right"/>
        <w:rPr>
          <w:rFonts w:ascii="Times New Roman" w:hAnsi="Times New Roman" w:cs="Times New Roman"/>
          <w:lang w:val="uk-UA"/>
        </w:rPr>
      </w:pPr>
    </w:p>
    <w:p w:rsidR="007A66EA" w:rsidRPr="000E1F09" w:rsidRDefault="00E24CCA" w:rsidP="007A66EA">
      <w:pPr>
        <w:spacing w:after="0" w:line="240" w:lineRule="auto"/>
        <w:ind w:firstLine="106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F09"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</w:p>
    <w:p w:rsidR="00E24CCA" w:rsidRPr="000E1F09" w:rsidRDefault="00E24CCA" w:rsidP="007A66EA">
      <w:pPr>
        <w:spacing w:after="0" w:line="240" w:lineRule="auto"/>
        <w:ind w:firstLine="106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F09">
        <w:rPr>
          <w:rFonts w:ascii="Times New Roman" w:hAnsi="Times New Roman" w:cs="Times New Roman"/>
          <w:sz w:val="28"/>
          <w:szCs w:val="28"/>
          <w:lang w:val="uk-UA"/>
        </w:rPr>
        <w:t>до Програми</w:t>
      </w:r>
    </w:p>
    <w:p w:rsidR="001326E9" w:rsidRPr="000E1F09" w:rsidRDefault="001326E9" w:rsidP="007A66EA">
      <w:pPr>
        <w:spacing w:after="0" w:line="240" w:lineRule="auto"/>
        <w:ind w:firstLine="106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26E9" w:rsidRPr="000E1F09" w:rsidRDefault="001326E9" w:rsidP="0013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1F09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1326E9" w:rsidRPr="000E1F09" w:rsidRDefault="001326E9" w:rsidP="001326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E1F09">
        <w:rPr>
          <w:rFonts w:ascii="Times New Roman" w:hAnsi="Times New Roman" w:cs="Times New Roman"/>
          <w:sz w:val="28"/>
          <w:szCs w:val="28"/>
          <w:lang w:val="uk-UA"/>
        </w:rPr>
        <w:t>завдань і заходів міської комплексної програми «Освіта» на 2022-2024 роки</w:t>
      </w:r>
    </w:p>
    <w:p w:rsidR="007A66EA" w:rsidRPr="000E1F09" w:rsidRDefault="007A66EA" w:rsidP="007A66EA">
      <w:pPr>
        <w:spacing w:after="0" w:line="240" w:lineRule="auto"/>
        <w:ind w:firstLine="1063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26"/>
        <w:gridCol w:w="150"/>
        <w:gridCol w:w="3827"/>
        <w:gridCol w:w="1032"/>
        <w:gridCol w:w="1701"/>
        <w:gridCol w:w="1560"/>
        <w:gridCol w:w="1417"/>
        <w:gridCol w:w="1418"/>
        <w:gridCol w:w="1417"/>
        <w:gridCol w:w="1418"/>
      </w:tblGrid>
      <w:tr w:rsidR="00E24CCA" w:rsidRPr="000E1F09" w:rsidTr="005075A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№ п/п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Назва напрямку діяльності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Строк виконання заходу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Виконавці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507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Орієнтовні обсяги фінансування (тис. грн)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Очікуваний результат</w:t>
            </w:r>
          </w:p>
        </w:tc>
      </w:tr>
      <w:tr w:rsidR="00E24CCA" w:rsidRPr="000E1F09" w:rsidTr="005075A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всього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у тому числі по рокам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разом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73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Розвиток професійної та вищої освіти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Забезпечення належних умов для надання професійної (професійно-технічної) освіти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Задоволення потреб громади у професійних кадрах</w:t>
            </w:r>
          </w:p>
        </w:tc>
      </w:tr>
      <w:tr w:rsidR="00E24CCA" w:rsidRPr="000E1F09" w:rsidTr="005075AB">
        <w:trPr>
          <w:trHeight w:val="7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- кількість закладів професійної (професійно-технічної) та вищої освіти (од.)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8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4.1.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Вища освіта І та ІІ рівня акредитації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Забезпечення функціонування Миколаївського  муніципального академічного коледжу І та ІІ рівня акредитації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Управління освіти ММР, Миколаївський  муніципальний академічний коледж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23 528,200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7 015,000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8 024,200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8 489,000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місцевого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23 221,000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7 015,000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7 717,000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8 489,000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державного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674 364,200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203 642,000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224 314,200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246 408,000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місцевого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584 783,000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176 671,000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194 339,000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213 773,000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державного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62 535,200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18 800,000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20 987,200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22 748,000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27 046,000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8 171,000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8 988,000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9 887,000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A96690" w:rsidTr="005075AB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Створення безпечних та нешкідливих умов навчання та виховання, медичне забезпечення, соціальний захист дітей пільгових категорій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Збереження здоров’я учнів, вихованців, надання своєчасної медичної допомоги , матеріальної допомоги дітям - сиротам, дітям, позбавленим батьківського піклування</w:t>
            </w:r>
          </w:p>
        </w:tc>
      </w:tr>
      <w:tr w:rsidR="00E24CCA" w:rsidRPr="000E1F09" w:rsidTr="005075AB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5.2.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507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Забезпечення питною водою дітей ЗДО </w:t>
            </w:r>
            <w:r w:rsidR="005075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</w:t>
            </w: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№92, 99, 147, учнів ЗЗСО</w:t>
            </w:r>
            <w:r w:rsidR="005075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№</w:t>
            </w: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21, 23, 24, 60, 61. Поетапне встановлення систем доочищення води у закладах освіти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Управління освіти ММР, заклади освіти, управління капітального будівництва ММР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17 874,000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6 534,000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місцевого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17 874,000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6 534,000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державного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1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5.6.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Проведення ремонтів в закладах освіти 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Управління освіти ММР, заклади освіти, управління капітального будівництва ММР, департамент </w:t>
            </w:r>
            <w:r w:rsidR="005075AB"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енергетики</w:t>
            </w: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 е</w:t>
            </w:r>
            <w:r w:rsidR="00C923A4"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нергозбереження та запровадження</w:t>
            </w: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</w:t>
            </w:r>
            <w:r w:rsidR="005075AB"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інноваційних</w:t>
            </w: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технологій ММР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653 392,000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311 139,000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342 253,000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місцевого бюджету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653 392,000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311 139,000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342 253,000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державного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6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5.7.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F42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Облаштування споруд цивільного захисту (укриття) та бомбосховищ у закладах освіти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Управління освіти ММР, заклади освіти, управління капітального будівництва ММР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40 000,000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60 000,000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місцевого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60 000,000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державного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46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5.8.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Буріння свердловин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2023-2024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15 000,000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місцевого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15 000,000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15 000,000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державного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1 055 696,400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82 266,400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456 633,000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516 797,000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місцевого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1 002 387,400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66 161,400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438 917,000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497 309,000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державного бюджету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53 309,000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16 105,000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17 716,000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19 488,000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за рахунок освітньої субвенції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із спеціального фонду (власні надходження)</w:t>
            </w: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uk-UA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24CCA" w:rsidRPr="000E1F09" w:rsidTr="005075AB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CCA" w:rsidRPr="000E1F09" w:rsidRDefault="00E24CCA" w:rsidP="003C6610">
            <w:pPr>
              <w:spacing w:after="0" w:line="240" w:lineRule="auto"/>
              <w:ind w:firstLineChars="1400" w:firstLine="3092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Разом по програмі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9 451 890,000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2 616 282,800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3 245 803,200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3 589 804,000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E24CCA" w:rsidRPr="000E1F09" w:rsidTr="005075A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з місцевого бюджету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6 094 130,700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1 601 948,700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2 129 726,000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2 362 456,000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E24CCA" w:rsidRPr="000E1F09" w:rsidTr="005075A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з державного бюджету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152 609,000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46 105,000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50 716,000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55 788,000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E24CCA" w:rsidRPr="000E1F09" w:rsidTr="005075A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за рахунок освітньої субвенції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2 915 755,200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880 800,000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969 187,200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1 065 768,000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E24CCA" w:rsidRPr="000E1F09" w:rsidTr="005075AB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83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в тому числі із спеціального фонду </w:t>
            </w: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(власні надходження)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289 395,100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87 429,100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96 174,000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105 792,000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CA" w:rsidRPr="000E1F09" w:rsidRDefault="00E24CCA" w:rsidP="00E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</w:tr>
      <w:tr w:rsidR="00E24CCA" w:rsidRPr="000E1F09" w:rsidTr="005075AB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 </w:t>
            </w:r>
          </w:p>
        </w:tc>
        <w:tc>
          <w:tcPr>
            <w:tcW w:w="15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CCA" w:rsidRPr="000E1F09" w:rsidRDefault="00E24CCA" w:rsidP="00E22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 - остаточний обсяг визначається рішенням міської ради під час затвердження та виконання міського бюджету м.</w:t>
            </w:r>
            <w:r w:rsidR="00CB75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Миколаєва на відповідний бюджетний рік, без внесення змін до обсягів видатків, передбачених даним додатком. Видатки на реконструкцію (реставрацію) та будівництво закладів освіти передбачено Міською програмою економічного і соціального розвитку м.</w:t>
            </w:r>
            <w:r w:rsidR="00CB753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E1F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Миколаєва</w:t>
            </w:r>
          </w:p>
        </w:tc>
      </w:tr>
    </w:tbl>
    <w:p w:rsidR="00541B9A" w:rsidRPr="000E1F09" w:rsidRDefault="00541B9A" w:rsidP="006C4D58">
      <w:pPr>
        <w:pStyle w:val="a3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03030"/>
          <w:sz w:val="21"/>
          <w:szCs w:val="21"/>
          <w:lang w:val="uk-UA"/>
        </w:rPr>
        <w:sectPr w:rsidR="00541B9A" w:rsidRPr="000E1F09" w:rsidSect="00E226A9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7A66EA" w:rsidRPr="000E1F09" w:rsidRDefault="007A66EA" w:rsidP="007E6B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66EA" w:rsidRPr="000E1F09" w:rsidRDefault="007A66EA" w:rsidP="007A66EA">
      <w:pPr>
        <w:spacing w:after="0" w:line="360" w:lineRule="auto"/>
        <w:ind w:left="6804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ЗАТВЕРДЖЕНО</w:t>
      </w:r>
    </w:p>
    <w:p w:rsidR="007A66EA" w:rsidRPr="000E1F09" w:rsidRDefault="007A66EA" w:rsidP="007A66EA">
      <w:pPr>
        <w:tabs>
          <w:tab w:val="left" w:pos="5580"/>
        </w:tabs>
        <w:spacing w:after="0" w:line="360" w:lineRule="auto"/>
        <w:ind w:left="680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рішення міської ради</w:t>
      </w:r>
    </w:p>
    <w:p w:rsidR="007A66EA" w:rsidRPr="000E1F09" w:rsidRDefault="007A66EA" w:rsidP="007A66EA">
      <w:pPr>
        <w:tabs>
          <w:tab w:val="left" w:pos="5580"/>
        </w:tabs>
        <w:spacing w:after="0" w:line="360" w:lineRule="auto"/>
        <w:ind w:left="680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від _______________</w:t>
      </w:r>
    </w:p>
    <w:p w:rsidR="007A66EA" w:rsidRPr="000E1F09" w:rsidRDefault="007A66EA" w:rsidP="007A66EA">
      <w:pPr>
        <w:tabs>
          <w:tab w:val="left" w:pos="5580"/>
        </w:tabs>
        <w:spacing w:after="0" w:line="360" w:lineRule="auto"/>
        <w:ind w:left="680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№ _______________</w:t>
      </w:r>
    </w:p>
    <w:p w:rsidR="007A66EA" w:rsidRPr="000E1F09" w:rsidRDefault="007A66EA" w:rsidP="007E6B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66EA" w:rsidRPr="000E1F09" w:rsidRDefault="007A66EA" w:rsidP="007E6BA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A66EA" w:rsidRPr="000E1F09" w:rsidRDefault="007E6BAC" w:rsidP="007A66EA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3 </w:t>
      </w:r>
    </w:p>
    <w:p w:rsidR="007E6BAC" w:rsidRPr="000E1F09" w:rsidRDefault="007E6BAC" w:rsidP="007A66EA">
      <w:pPr>
        <w:spacing w:after="0" w:line="240" w:lineRule="auto"/>
        <w:ind w:left="680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</w:t>
      </w:r>
    </w:p>
    <w:p w:rsidR="007E6BAC" w:rsidRPr="000E1F09" w:rsidRDefault="007E6BAC" w:rsidP="007E6B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6BAC" w:rsidRPr="000E1F09" w:rsidRDefault="007E6BAC" w:rsidP="007E6B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t>РЕЗУЛЬТАТИВНІ ПОКАЗНИКИ</w:t>
      </w:r>
      <w:r w:rsidRPr="000E1F09">
        <w:rPr>
          <w:rFonts w:ascii="Times New Roman" w:eastAsia="Calibri" w:hAnsi="Times New Roman" w:cs="Times New Roman"/>
          <w:sz w:val="28"/>
          <w:szCs w:val="28"/>
          <w:lang w:val="uk-UA"/>
        </w:rPr>
        <w:br/>
        <w:t>виконання міської комплексної Програми «Освіта» на 2022-2024 роки</w:t>
      </w:r>
    </w:p>
    <w:p w:rsidR="007E6BAC" w:rsidRPr="000E1F09" w:rsidRDefault="007E6BAC" w:rsidP="007E6BA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906" w:type="dxa"/>
        <w:tblInd w:w="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1984"/>
        <w:gridCol w:w="1624"/>
        <w:gridCol w:w="2045"/>
      </w:tblGrid>
      <w:tr w:rsidR="007E6BAC" w:rsidRPr="000E1F09" w:rsidTr="00A86F12">
        <w:trPr>
          <w:trHeight w:val="55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Результативні показники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2022 рік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2023 рік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ru-RU"/>
              </w:rPr>
              <w:t>2024 рік</w:t>
            </w:r>
          </w:p>
        </w:tc>
      </w:tr>
      <w:tr w:rsidR="007E6BAC" w:rsidRPr="000E1F09" w:rsidTr="00A86F12">
        <w:tc>
          <w:tcPr>
            <w:tcW w:w="99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Заклади дошкільної освіти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затрат: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Кількість установ всього, 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74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75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Кількість груп в ЗДО, 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693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693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699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в т.ч. для дітей з особливими освітніми потребами (інклюзія), 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167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Обсяг видатків на фінансування 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786140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863105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954416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в т.ч. на харчування дітей,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124000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136400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150040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продукту: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075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Кількість дітей, охоплених дошкільною освітою, 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15148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15148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15288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CB75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в т.ч. дітей з особливими освітніми потребами, 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238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248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258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ефективності: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CB753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Середня наповнюваність груп в закладах дошкільної освіти, </w:t>
            </w:r>
            <w:r w:rsidR="00CB7536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21,9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21,9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21,9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Середні витрати на утримання 1 дитини,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51,9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57,0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62,4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в т.ч. на харчування 1 дитини,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8,2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9,0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9,8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якості: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дошкільних навчальних закладів, до фактичного показника попереднього року,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101,4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101,4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дітей, охоплених дошкільною освітою, до фактичного показника попереднього року,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100,9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груп для дітей з особливими освітніми потребами (інклюзія), до фактичного показника попереднього року</w:t>
            </w:r>
            <w:r w:rsidR="00F42F70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,</w:t>
            </w: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135,0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102,5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100,9</w:t>
            </w:r>
          </w:p>
        </w:tc>
      </w:tr>
      <w:tr w:rsidR="007E6BAC" w:rsidRPr="000E1F09" w:rsidTr="00A86F12">
        <w:tc>
          <w:tcPr>
            <w:tcW w:w="99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Заклади загальної середньої освіти </w:t>
            </w:r>
            <w:r w:rsidRPr="000E1F09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0"/>
                <w:szCs w:val="20"/>
                <w:lang w:val="uk-UA" w:eastAsia="ru-RU"/>
              </w:rPr>
              <w:t>( у тому числі денної форми навчання, вечірні школи та спеціальні заклади освіти для дітей, які потребують корекції фізичного та (або) розумового розвитку)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затрат: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Кількість установ всього, 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70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Обсяг видатків на фінансування загальної середньої освіти,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1378214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1519128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1671298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в  т.ч. на реалізацію Концепції «Нова українська школа», тис.грн;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28575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31433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34576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Обсяг видатків на стимулювання учнівської молоді,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290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351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продукту: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075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Кількість учнів/дітей дошкільного відділення, </w:t>
            </w: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lastRenderedPageBreak/>
              <w:t xml:space="preserve">охоплених освітою, 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lastRenderedPageBreak/>
              <w:t>46517 / 273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46517 / 273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46517 / 273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075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в  т.ч. кількість учнів, задіяних в реалізації Концепції «Нова українська школа», 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19137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23637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28137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075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кількість учнів з особливими освітніми потребами , 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326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330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340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A2D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Кількість учнів переможців ІІІ та ІV етапів Всеукраїнських учнівських олімпіад з базових дисциплін, ІІІ етапів конкурсу-захисту пошуково-дослідницьких робіт учнів-членів  Малої академії наук (од.)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65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ефективності: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A162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Середні витрати на утримання 1 учня</w:t>
            </w:r>
            <w:r w:rsidR="00F42F70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 </w:t>
            </w: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(дитину),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29,6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32,5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35,7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в т.ч. середні витрати на 1 учня, задіяного в реалізації Концепції «Нова українська школа», тис.грн;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1,2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075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Середній розмір стипендії міського голови учням 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-</w:t>
            </w: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переможцям ІІІ та ІV етапів Всеукраїнських учнівських олімпіад з базових дисциплін, ІІІ етапів конкурсу-захисту пошуково-дослідницьких робіт учнів-членів  Малої академії наук, 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4,9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5,4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якості: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учнів, охоплених середньою загальною освітою, до фактичного показника попереднього року,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100,3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100,6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100,6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учнів з особливими освітніми потребами, охоплених середньою загальною освітою, до фактичного показника попереднього року,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124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101,9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101,9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учнів, задіяних в реалізації Концепції «Нова українська школа», до фактичного показника попереднього року,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118,8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123,5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119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A162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учнів 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-</w:t>
            </w: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переможців ІІІ та ІV етапів Всеукраїнських учнівських олімпіад з базових дисциплін, ІІ та ІІІ етапів конкурсу-захисту пошуково-дослідницьких робіт учнів-членів Малої академії наук,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</w:tr>
      <w:tr w:rsidR="007E6BAC" w:rsidRPr="000E1F09" w:rsidTr="00A86F12">
        <w:tc>
          <w:tcPr>
            <w:tcW w:w="99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Заклади позашкільної освіти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затрат: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Кількість установ всього, 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Обсяг видатків на фінансування 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77513,5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85265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93792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продукту: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075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Кількість учнів/дітей, охоплених позашкільною освітою, 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12720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12720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12720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ефективності: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Середні витрати на 1 дитину,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6,1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6,7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7,4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якості: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дітей, охоплених позашкільною освітою, до фактичного показника попереднього року,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100,1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</w:tr>
      <w:tr w:rsidR="007E6BAC" w:rsidRPr="000E1F09" w:rsidTr="00A86F12">
        <w:tc>
          <w:tcPr>
            <w:tcW w:w="99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Заклади професійної (професійно-техічної) та фахової передвищої освіти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затрат: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Кількість закладів професійної (професійно-технічної) та фахової передвищої освіти, 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8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Обсяг видатків на фінансування 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203642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224314,200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246408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в т.ч. на забезпечення виплати стипендії учням,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28199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30483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32709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продукту: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075A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Кількість учнів (студентів), охоплених професійним навчанням, </w:t>
            </w:r>
            <w:r w:rsidR="005075AB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4200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4200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4200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5A2DE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 xml:space="preserve">в т.ч. кількість стипендіатів, </w:t>
            </w:r>
            <w:r w:rsidR="005A2DE0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осіб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3384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3384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3384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lastRenderedPageBreak/>
              <w:t>Показники ефективності: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Середні витрати на 1 учня (студента),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48,5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53,4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58,7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в т.ч. на виплату стипендії 1 стипендіату,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8,3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9,0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9,7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якості: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учнів (студентів), охоплених професійною (професійно-технічною) та фаховою передвищою освітою, до фактичного показника попереднього року,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</w:tr>
      <w:tr w:rsidR="007E6BAC" w:rsidRPr="000E1F09" w:rsidTr="00A86F12">
        <w:tc>
          <w:tcPr>
            <w:tcW w:w="99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Поліпшення матеріально-технічної бази закладів освіти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затрат: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Обсяг видатків на придбання обладнання і предметів довгострокового користування для закладів освіти,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34000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37400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41140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продукту: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Кількість одиниць придбаного обладнання, од.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1700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1700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1700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ефективності: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Середні витрати на одиницю придбаного обладнання, тис.грн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24,2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якості: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  <w:t>Динаміка збільшення кількості придбаного обладнання довгострокового користування для закладів освіти, до фактичного показника попереднього року, 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</w:t>
            </w:r>
          </w:p>
        </w:tc>
      </w:tr>
      <w:tr w:rsidR="007E6BAC" w:rsidRPr="000E1F09" w:rsidTr="00A86F12">
        <w:trPr>
          <w:trHeight w:val="357"/>
        </w:trPr>
        <w:tc>
          <w:tcPr>
            <w:tcW w:w="99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uk-UA" w:eastAsia="ru-RU"/>
              </w:rPr>
              <w:t>Створення безпечних та нешкідливих умов навчання та виховання, медичне забезпечення, соціальний захист дітей пільгових категорій </w:t>
            </w: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продукту: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Обсяг видатків на проведення ремонтів, тис.грн;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311 139,000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342 253,000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Обсяг видатків на облаштування споруд цивільного захисту (укриття) та бомбосховища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40 000,000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60 000,000</w:t>
            </w:r>
          </w:p>
        </w:tc>
      </w:tr>
      <w:tr w:rsidR="007E6BAC" w:rsidRPr="000E1F09" w:rsidTr="00A86F12">
        <w:trPr>
          <w:trHeight w:val="40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Обсяг видатків на буріння свердловин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15 000,000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15 000,000</w:t>
            </w:r>
          </w:p>
        </w:tc>
      </w:tr>
      <w:tr w:rsidR="007E6BAC" w:rsidRPr="000E1F09" w:rsidTr="00A86F12">
        <w:trPr>
          <w:trHeight w:val="27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затрат: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Кількість закладів в яких планується проведення ремонтів, од;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160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Кількість закладів в яких планується облаштувати споруди цивільного захисту (укриття) та бомбосховища, од;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35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Кількість закладів в яких планується буріння свердловин, од;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25</w:t>
            </w:r>
          </w:p>
        </w:tc>
      </w:tr>
      <w:tr w:rsidR="007E6BAC" w:rsidRPr="000E1F09" w:rsidTr="00A86F12">
        <w:trPr>
          <w:trHeight w:val="314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ефективності: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Середні витрати на проведення ремонтів однієї установи, тис.грн;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1 956,800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2 139,100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Середні витрати на облаштування споруд цивільного захисту (укриття) та бомбосховища, тис.грн.;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1 600,000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1 714,300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Середні витрати на буріння однієї свердловин, тис.грн;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600,000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600,000</w:t>
            </w:r>
          </w:p>
        </w:tc>
      </w:tr>
      <w:tr w:rsidR="007E6BAC" w:rsidRPr="000E1F09" w:rsidTr="00A86F12">
        <w:trPr>
          <w:trHeight w:val="330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val="uk-UA" w:eastAsia="ru-RU"/>
              </w:rPr>
              <w:t>Показники ефективності: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 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Динаміка збільшення середніх витрат на проведення ремонтів в закладах освіти до попереднього року, %;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109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Динаміка збільшення кількості закладів в яких планується облаштувати споруди цивільного захисту (укриття) та бомбосховища до попереднього року, %;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140</w:t>
            </w:r>
          </w:p>
        </w:tc>
      </w:tr>
      <w:tr w:rsidR="007E6BAC" w:rsidRPr="000E1F09" w:rsidTr="00A86F12">
        <w:trPr>
          <w:trHeight w:val="526"/>
        </w:trPr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Динаміка збільшення кількості закладів в яких планується буріння свердловин до попереднього року, %;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E6BAC" w:rsidRPr="000E1F09" w:rsidRDefault="007E6BAC" w:rsidP="00146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</w:pPr>
            <w:r w:rsidRPr="000E1F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uk-UA" w:eastAsia="ru-RU"/>
              </w:rPr>
              <w:t>100 </w:t>
            </w:r>
          </w:p>
        </w:tc>
      </w:tr>
    </w:tbl>
    <w:p w:rsidR="007E6BAC" w:rsidRPr="000E1F09" w:rsidRDefault="007E6BAC" w:rsidP="007E6BAC">
      <w:pPr>
        <w:rPr>
          <w:lang w:val="uk-UA"/>
        </w:rPr>
      </w:pPr>
    </w:p>
    <w:sectPr w:rsidR="007E6BAC" w:rsidRPr="000E1F09" w:rsidSect="001464E1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13" w:rsidRDefault="00BA2413" w:rsidP="00C8661F">
      <w:pPr>
        <w:spacing w:after="0" w:line="240" w:lineRule="auto"/>
      </w:pPr>
      <w:r>
        <w:separator/>
      </w:r>
    </w:p>
  </w:endnote>
  <w:endnote w:type="continuationSeparator" w:id="0">
    <w:p w:rsidR="00BA2413" w:rsidRDefault="00BA2413" w:rsidP="00C8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13" w:rsidRDefault="00BA2413" w:rsidP="00C8661F">
      <w:pPr>
        <w:spacing w:after="0" w:line="240" w:lineRule="auto"/>
      </w:pPr>
      <w:r>
        <w:separator/>
      </w:r>
    </w:p>
  </w:footnote>
  <w:footnote w:type="continuationSeparator" w:id="0">
    <w:p w:rsidR="00BA2413" w:rsidRDefault="00BA2413" w:rsidP="00C86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67820"/>
    <w:multiLevelType w:val="hybridMultilevel"/>
    <w:tmpl w:val="5D58951C"/>
    <w:lvl w:ilvl="0" w:tplc="BFD61B7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A1008E"/>
    <w:multiLevelType w:val="hybridMultilevel"/>
    <w:tmpl w:val="E66433B4"/>
    <w:lvl w:ilvl="0" w:tplc="B2E0C84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00"/>
    <w:rsid w:val="00005BAD"/>
    <w:rsid w:val="00087600"/>
    <w:rsid w:val="000A7D42"/>
    <w:rsid w:val="000C2541"/>
    <w:rsid w:val="000C613D"/>
    <w:rsid w:val="000E1F09"/>
    <w:rsid w:val="001326E9"/>
    <w:rsid w:val="001464E1"/>
    <w:rsid w:val="00173889"/>
    <w:rsid w:val="001D1309"/>
    <w:rsid w:val="00202C41"/>
    <w:rsid w:val="00244DB8"/>
    <w:rsid w:val="002A7E11"/>
    <w:rsid w:val="002C5913"/>
    <w:rsid w:val="0031193B"/>
    <w:rsid w:val="00317866"/>
    <w:rsid w:val="003C6610"/>
    <w:rsid w:val="00414DCE"/>
    <w:rsid w:val="00441270"/>
    <w:rsid w:val="004A7EF5"/>
    <w:rsid w:val="005035D4"/>
    <w:rsid w:val="005075AB"/>
    <w:rsid w:val="00541B9A"/>
    <w:rsid w:val="0054255D"/>
    <w:rsid w:val="00543F0F"/>
    <w:rsid w:val="00571745"/>
    <w:rsid w:val="00594FE8"/>
    <w:rsid w:val="005A2DE0"/>
    <w:rsid w:val="005B1126"/>
    <w:rsid w:val="005B19AE"/>
    <w:rsid w:val="005B2052"/>
    <w:rsid w:val="006032ED"/>
    <w:rsid w:val="00660101"/>
    <w:rsid w:val="006634CC"/>
    <w:rsid w:val="00676148"/>
    <w:rsid w:val="006B67DC"/>
    <w:rsid w:val="006C3684"/>
    <w:rsid w:val="006C4D58"/>
    <w:rsid w:val="00710482"/>
    <w:rsid w:val="007A66EA"/>
    <w:rsid w:val="007E6BAC"/>
    <w:rsid w:val="00842317"/>
    <w:rsid w:val="00882B87"/>
    <w:rsid w:val="009446FF"/>
    <w:rsid w:val="00985AAC"/>
    <w:rsid w:val="00A013BF"/>
    <w:rsid w:val="00A04D53"/>
    <w:rsid w:val="00A1625E"/>
    <w:rsid w:val="00A86F12"/>
    <w:rsid w:val="00A96690"/>
    <w:rsid w:val="00B02E4E"/>
    <w:rsid w:val="00B13577"/>
    <w:rsid w:val="00B21D57"/>
    <w:rsid w:val="00B278E8"/>
    <w:rsid w:val="00B60CF9"/>
    <w:rsid w:val="00BA2413"/>
    <w:rsid w:val="00BD62A0"/>
    <w:rsid w:val="00C217FF"/>
    <w:rsid w:val="00C8661F"/>
    <w:rsid w:val="00C87571"/>
    <w:rsid w:val="00C923A4"/>
    <w:rsid w:val="00CB41C1"/>
    <w:rsid w:val="00CB7536"/>
    <w:rsid w:val="00CC27C3"/>
    <w:rsid w:val="00CD31EE"/>
    <w:rsid w:val="00D257C6"/>
    <w:rsid w:val="00E05E50"/>
    <w:rsid w:val="00E207AB"/>
    <w:rsid w:val="00E226A9"/>
    <w:rsid w:val="00E24CCA"/>
    <w:rsid w:val="00E4383E"/>
    <w:rsid w:val="00E659F4"/>
    <w:rsid w:val="00EA5CAF"/>
    <w:rsid w:val="00F4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05F10-C075-4D84-A339-A12DE59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A5CAF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EA5CAF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d2edcug0">
    <w:name w:val="d2edcug0"/>
    <w:basedOn w:val="a0"/>
    <w:uiPriority w:val="99"/>
    <w:rsid w:val="00EA5CAF"/>
    <w:rPr>
      <w:rFonts w:cs="Times New Roman"/>
    </w:rPr>
  </w:style>
  <w:style w:type="paragraph" w:customStyle="1" w:styleId="1">
    <w:name w:val="Без интервала1"/>
    <w:uiPriority w:val="99"/>
    <w:rsid w:val="00EA5C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EA5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59"/>
    <w:rsid w:val="005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5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2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07A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8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661F"/>
  </w:style>
  <w:style w:type="paragraph" w:styleId="ab">
    <w:name w:val="footer"/>
    <w:basedOn w:val="a"/>
    <w:link w:val="ac"/>
    <w:uiPriority w:val="99"/>
    <w:unhideWhenUsed/>
    <w:rsid w:val="00C8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10088</Words>
  <Characters>5751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user366a</cp:lastModifiedBy>
  <cp:revision>3</cp:revision>
  <cp:lastPrinted>2023-01-24T07:02:00Z</cp:lastPrinted>
  <dcterms:created xsi:type="dcterms:W3CDTF">2023-01-24T16:47:00Z</dcterms:created>
  <dcterms:modified xsi:type="dcterms:W3CDTF">2023-01-24T18:09:00Z</dcterms:modified>
</cp:coreProperties>
</file>